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2" w:rsidRPr="001757C1" w:rsidRDefault="00277E4E" w:rsidP="00AC349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57C1">
        <w:rPr>
          <w:rFonts w:ascii="Times New Roman" w:eastAsia="方正小标宋简体" w:hAnsi="Times New Roman" w:cs="Times New Roman"/>
          <w:sz w:val="44"/>
          <w:szCs w:val="44"/>
        </w:rPr>
        <w:t>船舶</w:t>
      </w:r>
      <w:r w:rsidR="00AC3492" w:rsidRPr="001757C1">
        <w:rPr>
          <w:rFonts w:ascii="Times New Roman" w:eastAsia="方正小标宋简体" w:hAnsi="Times New Roman" w:cs="Times New Roman"/>
          <w:sz w:val="44"/>
          <w:szCs w:val="44"/>
        </w:rPr>
        <w:t>设计单位首次信用评估工作办法</w:t>
      </w:r>
    </w:p>
    <w:p w:rsidR="00AC3492" w:rsidRPr="008A49E6" w:rsidRDefault="00AC3492" w:rsidP="008A49E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华文仿宋" w:cs="Times New Roman" w:hint="eastAsia"/>
          <w:sz w:val="32"/>
          <w:szCs w:val="32"/>
        </w:rPr>
        <w:t>为顺利开展船舶检验信用管理试点工作，对首次申请进</w:t>
      </w:r>
      <w:r w:rsidR="00277E4E" w:rsidRPr="008A49E6">
        <w:rPr>
          <w:rFonts w:ascii="仿宋_GB2312" w:eastAsia="仿宋_GB2312" w:hAnsi="华文仿宋" w:cs="Times New Roman" w:hint="eastAsia"/>
          <w:sz w:val="32"/>
          <w:szCs w:val="32"/>
        </w:rPr>
        <w:t>行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信用管理的试点单位进行评估，特制定本评估办法：</w:t>
      </w:r>
    </w:p>
    <w:p w:rsidR="00AC3492" w:rsidRPr="008A49E6" w:rsidRDefault="00AC3492" w:rsidP="008A49E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、评估申请。</w:t>
      </w:r>
      <w:r w:rsidR="00DB3365" w:rsidRPr="008A49E6">
        <w:rPr>
          <w:rFonts w:ascii="仿宋_GB2312" w:eastAsia="仿宋_GB2312" w:hAnsi="华文仿宋" w:cs="Times New Roman" w:hint="eastAsia"/>
          <w:sz w:val="32"/>
          <w:szCs w:val="32"/>
        </w:rPr>
        <w:t>参加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船舶检验信用管理试点的</w:t>
      </w:r>
      <w:r w:rsidR="00905CAA" w:rsidRPr="008A49E6">
        <w:rPr>
          <w:rFonts w:ascii="仿宋_GB2312" w:eastAsia="仿宋_GB2312" w:hAnsi="华文仿宋" w:cs="Times New Roman" w:hint="eastAsia"/>
          <w:sz w:val="32"/>
          <w:szCs w:val="32"/>
        </w:rPr>
        <w:t>设计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单位，采取自愿申请的原则，由申请单位向市</w:t>
      </w:r>
      <w:r w:rsidR="00B507E6" w:rsidRPr="008A49E6">
        <w:rPr>
          <w:rFonts w:ascii="仿宋_GB2312" w:eastAsia="仿宋_GB2312" w:hAnsi="华文仿宋" w:cs="Times New Roman" w:hint="eastAsia"/>
          <w:sz w:val="32"/>
          <w:szCs w:val="32"/>
        </w:rPr>
        <w:t>水运事务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中心提出书面申请，并承诺积极配合试点工作的需要，完善单位内部的</w:t>
      </w:r>
      <w:r w:rsidR="00905CAA" w:rsidRPr="008A49E6">
        <w:rPr>
          <w:rFonts w:ascii="仿宋_GB2312" w:eastAsia="仿宋_GB2312" w:hAnsi="华文仿宋" w:cs="Times New Roman" w:hint="eastAsia"/>
          <w:sz w:val="32"/>
          <w:szCs w:val="32"/>
        </w:rPr>
        <w:t>设计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质量管理体系，并制定切实可行的办法确保</w:t>
      </w:r>
      <w:r w:rsidR="00905CAA" w:rsidRPr="008A49E6">
        <w:rPr>
          <w:rFonts w:ascii="仿宋_GB2312" w:eastAsia="仿宋_GB2312" w:hAnsi="华文仿宋" w:cs="Times New Roman" w:hint="eastAsia"/>
          <w:sz w:val="32"/>
          <w:szCs w:val="32"/>
        </w:rPr>
        <w:t>设计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质量。</w:t>
      </w:r>
    </w:p>
    <w:p w:rsidR="005331FB" w:rsidRPr="008A49E6" w:rsidRDefault="005331FB" w:rsidP="008A49E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、信用评估工作小组。市水运事务中心组织建立市船舶检验信用评估专家库，每次评估工作开展前，由市水运事务中心纪检监察部门派人，从专家库中随机抽取7名专家参加评估，并全程参予监督。</w:t>
      </w:r>
    </w:p>
    <w:p w:rsidR="005331FB" w:rsidRPr="008A49E6" w:rsidRDefault="005331FB" w:rsidP="008A49E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、评估工作采用百分制，由评估小组</w:t>
      </w: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人分别独立评分，去掉一个最高分和一个最低分后计算平均分。平均分达到</w:t>
      </w: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分及以上为一级信用单位；平均分为</w:t>
      </w: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分及以上</w:t>
      </w: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分以下为二级信用单位；</w:t>
      </w: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分以下为三级信用单位。</w:t>
      </w:r>
    </w:p>
    <w:p w:rsidR="00AC3492" w:rsidRPr="008A49E6" w:rsidRDefault="00AC3492" w:rsidP="008A49E6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8A49E6">
        <w:rPr>
          <w:rFonts w:ascii="仿宋_GB2312" w:eastAsia="仿宋_GB2312" w:hAnsi="华文仿宋" w:cs="Times New Roman" w:hint="eastAsia"/>
          <w:sz w:val="32"/>
          <w:szCs w:val="32"/>
        </w:rPr>
        <w:t>、评分依据。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4536"/>
        <w:gridCol w:w="1043"/>
      </w:tblGrid>
      <w:tr w:rsidR="00AC3492" w:rsidRPr="001757C1" w:rsidTr="00316C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总项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分项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分数</w:t>
            </w:r>
          </w:p>
        </w:tc>
      </w:tr>
      <w:tr w:rsidR="00AC3492" w:rsidRPr="001757C1" w:rsidTr="00316C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质量管理体系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80016F" w:rsidP="00316CED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、持有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CCS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质量体系证书并正常运转计满分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分。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、体系运转存在一项重大不合格扣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，两项重大不合格扣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；一项一般不合格的扣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分，本项扣完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分为止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、持有证书但体系运转不正常存在两张皮现象的本项计</w:t>
            </w:r>
            <w:r w:rsidRPr="00AC530D">
              <w:rPr>
                <w:rFonts w:ascii="Times New Roman" w:eastAsia="华文仿宋" w:hAnsi="Times New Roman" w:cs="Times New Roman"/>
                <w:sz w:val="24"/>
                <w:szCs w:val="24"/>
              </w:rPr>
              <w:t>0</w:t>
            </w:r>
            <w:r w:rsidRPr="00AC530D">
              <w:rPr>
                <w:rFonts w:ascii="Times New Roman" w:eastAsia="华文仿宋" w:hAnsi="华文仿宋" w:cs="Times New Roman"/>
                <w:sz w:val="24"/>
                <w:szCs w:val="24"/>
              </w:rPr>
              <w:t>分。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1</w:t>
            </w:r>
            <w:r w:rsidR="0080016F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AC3492" w:rsidRPr="001757C1" w:rsidTr="00316C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905CAA" w:rsidP="00905CAA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设计专业技术</w:t>
            </w:r>
            <w:r w:rsidR="00AC3492"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人员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、有本专业（船体或机电）高级及以上专业技术职称的质量负责人从事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设计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质量管理和签署自审报告的计</w:t>
            </w: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93283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分。</w:t>
            </w:r>
          </w:p>
          <w:p w:rsidR="009E0F36" w:rsidRPr="001757C1" w:rsidRDefault="00AC3492" w:rsidP="009E0F36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、自有专职设计人员中，船、机、电专业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技术人员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配备齐全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，专业搭配合理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主要设计人员具有本专业</w:t>
            </w:r>
            <w:r w:rsidR="00905CA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8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年以上工作经历</w:t>
            </w:r>
            <w:r w:rsidR="00932838"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（以设计送审图为准）</w:t>
            </w:r>
            <w:r w:rsidR="00905CA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本项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共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计</w:t>
            </w: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93283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缺少</w:t>
            </w:r>
            <w:r w:rsidR="00932838"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符合上述要求的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船体或者机电专业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的本项计</w:t>
            </w:r>
            <w:r w:rsidR="009E0F36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分，设计人员数量不满足设计需要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或专业搭配不合理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的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各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扣</w:t>
            </w: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 w:rsidR="00932838"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（以近一年内在我中心设计送审业务量为评估依据）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</w:p>
          <w:p w:rsidR="00AC3492" w:rsidRPr="001757C1" w:rsidRDefault="00AC3492" w:rsidP="00E42128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3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、设计人员专业技能计</w:t>
            </w:r>
            <w:r w:rsidR="000C7490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分。对设计人员进行现场考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核（采用当面问答的形式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考核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，试题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由评估组事前拟定</w:t>
            </w:r>
            <w:r w:rsidR="00DA3639"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。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至少有</w:t>
            </w:r>
            <w:r w:rsidR="009E0F36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套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每套</w:t>
            </w:r>
            <w:r w:rsidR="009E0F36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5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题供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现场抽取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，要求所有问题回答正确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），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每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出现</w:t>
            </w:r>
            <w:r w:rsidR="009E0F36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人</w:t>
            </w:r>
            <w:r w:rsidR="009E0F36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考核没有通过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扣</w:t>
            </w:r>
            <w:r w:rsidR="000C7490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，本项扣完</w:t>
            </w:r>
            <w:r w:rsidR="000C7490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分为止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0C7490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3</w:t>
            </w:r>
            <w:r w:rsidR="00E42128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AC3492" w:rsidRPr="001757C1" w:rsidTr="00316C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C11EBB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设计</w:t>
            </w:r>
            <w:r w:rsidR="00AC3492"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质量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EBB" w:rsidRPr="001757C1" w:rsidRDefault="00AC3492" w:rsidP="00C11EBB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、现场评价。本项共计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分，现场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对</w:t>
            </w:r>
            <w:r w:rsidR="00E42128">
              <w:rPr>
                <w:rFonts w:ascii="Times New Roman" w:eastAsia="华文仿宋" w:hAnsi="华文仿宋" w:cs="Times New Roman" w:hint="eastAsia"/>
                <w:sz w:val="24"/>
                <w:szCs w:val="24"/>
              </w:rPr>
              <w:t>最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近完成送审的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10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艘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船舶设计图纸的初审意见进行评价，每一处明显违反法规要求的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初审意见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扣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0.5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，本项扣完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4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分为止</w:t>
            </w:r>
            <w:r w:rsidR="00C11EBB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</w:p>
          <w:p w:rsidR="00AC3492" w:rsidRPr="001757C1" w:rsidRDefault="00C11EBB" w:rsidP="00E42128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 </w:t>
            </w:r>
            <w:r w:rsidR="00AC3492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、近一年内，我中心没有收到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现场验船师、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用户和船籍港船检部门反馈的重大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设计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质量问题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，本项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计</w:t>
            </w:r>
            <w:r w:rsidR="00AC3492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分。一般质量问题，每出现一起扣</w:t>
            </w:r>
            <w:r w:rsidR="00AC3492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分（扣完</w:t>
            </w:r>
            <w:r w:rsidR="00AC3492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分为止）。存在重大设计质量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问题的本项计</w:t>
            </w:r>
            <w:r w:rsidR="000C7490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0</w:t>
            </w:r>
            <w:r w:rsidR="00AC3492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分。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93D8A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5</w:t>
            </w:r>
            <w:r w:rsidR="00E42128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AC3492" w:rsidRPr="001757C1" w:rsidTr="00316CE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0C7490" w:rsidP="00316CED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华文仿宋" w:cs="Times New Roman"/>
                <w:sz w:val="28"/>
                <w:szCs w:val="28"/>
              </w:rPr>
              <w:t>设计档案管理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C3492" w:rsidP="00E42128">
            <w:pPr>
              <w:spacing w:line="400" w:lineRule="exact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核查</w:t>
            </w:r>
            <w:r w:rsidR="000C7490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设计单位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的设计档案。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档案齐全符合现行行业管理要求。本项共计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。检查已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完成的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船舶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设计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档案，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每发现一起缺失档案扣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分，档案管理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不规范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的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扣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2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分。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本项扣完</w:t>
            </w:r>
            <w:r w:rsidR="00A93D8A" w:rsidRPr="001757C1">
              <w:rPr>
                <w:rFonts w:ascii="Times New Roman" w:eastAsia="华文仿宋" w:hAnsi="Times New Roman" w:cs="Times New Roman"/>
                <w:sz w:val="24"/>
                <w:szCs w:val="24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0</w:t>
            </w:r>
            <w:r w:rsidR="00A93D8A"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分为止</w:t>
            </w:r>
            <w:r w:rsidRPr="001757C1">
              <w:rPr>
                <w:rFonts w:ascii="Times New Roman" w:eastAsia="华文仿宋" w:hAnsi="华文仿宋" w:cs="Times New Roman"/>
                <w:sz w:val="24"/>
                <w:szCs w:val="24"/>
              </w:rPr>
              <w:t>。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492" w:rsidRPr="001757C1" w:rsidRDefault="00A93D8A" w:rsidP="000C7490">
            <w:pPr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1757C1">
              <w:rPr>
                <w:rFonts w:ascii="Times New Roman" w:eastAsia="华文仿宋" w:hAnsi="Times New Roman" w:cs="Times New Roman"/>
                <w:sz w:val="28"/>
                <w:szCs w:val="28"/>
              </w:rPr>
              <w:t>1</w:t>
            </w:r>
            <w:r w:rsidR="00E42128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0</w:t>
            </w:r>
          </w:p>
        </w:tc>
      </w:tr>
    </w:tbl>
    <w:p w:rsidR="00B10F2A" w:rsidRPr="008A49E6" w:rsidRDefault="00AC3492" w:rsidP="008A49E6">
      <w:pPr>
        <w:ind w:firstLineChars="150" w:firstLine="480"/>
        <w:rPr>
          <w:rFonts w:ascii="仿宋_GB2312" w:eastAsia="仿宋_GB2312" w:hAnsi="Times New Roman" w:cs="Times New Roman" w:hint="eastAsia"/>
          <w:sz w:val="32"/>
          <w:szCs w:val="32"/>
        </w:rPr>
      </w:pPr>
      <w:r w:rsidRPr="008A49E6">
        <w:rPr>
          <w:rFonts w:ascii="仿宋_GB2312" w:eastAsia="仿宋_GB2312" w:hAnsi="华文仿宋" w:cs="Times New Roman" w:hint="eastAsia"/>
          <w:sz w:val="32"/>
          <w:szCs w:val="32"/>
        </w:rPr>
        <w:t>本办法仅适应于试点前的首次评估。</w:t>
      </w:r>
    </w:p>
    <w:sectPr w:rsidR="00B10F2A" w:rsidRPr="008A49E6" w:rsidSect="001757C1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7E" w:rsidRDefault="006E437E" w:rsidP="00AC3492">
      <w:r>
        <w:separator/>
      </w:r>
    </w:p>
  </w:endnote>
  <w:endnote w:type="continuationSeparator" w:id="1">
    <w:p w:rsidR="006E437E" w:rsidRDefault="006E437E" w:rsidP="00AC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7E" w:rsidRDefault="006E437E" w:rsidP="00AC3492">
      <w:r>
        <w:separator/>
      </w:r>
    </w:p>
  </w:footnote>
  <w:footnote w:type="continuationSeparator" w:id="1">
    <w:p w:rsidR="006E437E" w:rsidRDefault="006E437E" w:rsidP="00AC3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492"/>
    <w:rsid w:val="000C7490"/>
    <w:rsid w:val="001757C1"/>
    <w:rsid w:val="0021532C"/>
    <w:rsid w:val="002421BD"/>
    <w:rsid w:val="00277E4E"/>
    <w:rsid w:val="003549C1"/>
    <w:rsid w:val="003934CE"/>
    <w:rsid w:val="003B1957"/>
    <w:rsid w:val="00446D4F"/>
    <w:rsid w:val="00472EE1"/>
    <w:rsid w:val="005331FB"/>
    <w:rsid w:val="006E437E"/>
    <w:rsid w:val="0080016F"/>
    <w:rsid w:val="008544F6"/>
    <w:rsid w:val="00894659"/>
    <w:rsid w:val="008A49E6"/>
    <w:rsid w:val="00905CAA"/>
    <w:rsid w:val="009118B3"/>
    <w:rsid w:val="00932838"/>
    <w:rsid w:val="009E0F36"/>
    <w:rsid w:val="00A22251"/>
    <w:rsid w:val="00A75672"/>
    <w:rsid w:val="00A93D8A"/>
    <w:rsid w:val="00AC3492"/>
    <w:rsid w:val="00B10F2A"/>
    <w:rsid w:val="00B31DC7"/>
    <w:rsid w:val="00B377F0"/>
    <w:rsid w:val="00B507E6"/>
    <w:rsid w:val="00B745BD"/>
    <w:rsid w:val="00BA18B4"/>
    <w:rsid w:val="00C11EBB"/>
    <w:rsid w:val="00C2165D"/>
    <w:rsid w:val="00CF42E6"/>
    <w:rsid w:val="00D331D3"/>
    <w:rsid w:val="00DA3639"/>
    <w:rsid w:val="00DB3365"/>
    <w:rsid w:val="00E42128"/>
    <w:rsid w:val="00E90783"/>
    <w:rsid w:val="00E97704"/>
    <w:rsid w:val="00F064EB"/>
    <w:rsid w:val="00FD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492"/>
    <w:rPr>
      <w:sz w:val="18"/>
      <w:szCs w:val="18"/>
    </w:rPr>
  </w:style>
  <w:style w:type="table" w:styleId="a5">
    <w:name w:val="Table Grid"/>
    <w:basedOn w:val="a1"/>
    <w:uiPriority w:val="59"/>
    <w:rsid w:val="00AC3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B404-CAEE-4A89-A3D1-DAC4390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2021-07-21T03:50:00Z</dcterms:created>
  <dcterms:modified xsi:type="dcterms:W3CDTF">2021-08-16T00:11:00Z</dcterms:modified>
</cp:coreProperties>
</file>