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道路旅客运输及客运站管理规定（中华人民共和国交通运输部令2020年第17号）</w:t>
      </w:r>
    </w:p>
    <w:p>
      <w:pPr>
        <w:keepNext w:val="0"/>
        <w:keepLines w:val="0"/>
        <w:pageBreakBefore w:val="0"/>
        <w:widowControl/>
        <w:suppressLineNumbers w:val="0"/>
        <w:pBdr>
          <w:bottom w:val="single" w:color="DDDDDD" w:sz="4" w:space="0"/>
        </w:pBdr>
        <w:kinsoku/>
        <w:wordWrap/>
        <w:overflowPunct/>
        <w:topLinePunct w:val="0"/>
        <w:autoSpaceDE/>
        <w:autoSpaceDN/>
        <w:bidi w:val="0"/>
        <w:adjustRightInd/>
        <w:snapToGrid/>
        <w:spacing w:line="600" w:lineRule="exact"/>
        <w:ind w:left="0" w:firstLine="0"/>
        <w:jc w:val="right"/>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lang w:val="en-US" w:eastAsia="zh-CN" w:bidi="ar"/>
        </w:rPr>
        <w:t>字号: </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lang w:val="en-US" w:eastAsia="zh-CN" w:bidi="ar"/>
        </w:rPr>
        <w:instrText xml:space="preserve"> HYPERLINK "https://xxgk.mot.gov.cn/2020/jigou/fgs/202007/javascript:void(0);" </w:instrTex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auto"/>
          <w:spacing w:val="0"/>
          <w:sz w:val="32"/>
          <w:szCs w:val="32"/>
          <w:u w:val="none"/>
        </w:rPr>
        <w:t>【大】</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auto"/>
          <w:spacing w:val="0"/>
          <w:kern w:val="0"/>
          <w:sz w:val="32"/>
          <w:szCs w:val="32"/>
          <w:lang w:val="en-US" w:eastAsia="zh-CN" w:bidi="ar"/>
        </w:rPr>
        <w:t> </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lang w:val="en-US" w:eastAsia="zh-CN" w:bidi="ar"/>
        </w:rPr>
        <w:instrText xml:space="preserve"> HYPERLINK "https://xxgk.mot.gov.cn/2020/jigou/fgs/202007/javascript:void(0);" </w:instrTex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auto"/>
          <w:spacing w:val="0"/>
          <w:sz w:val="32"/>
          <w:szCs w:val="32"/>
          <w:u w:val="none"/>
        </w:rPr>
        <w:t>【中】</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auto"/>
          <w:spacing w:val="0"/>
          <w:kern w:val="0"/>
          <w:sz w:val="32"/>
          <w:szCs w:val="32"/>
          <w:lang w:val="en-US" w:eastAsia="zh-CN" w:bidi="ar"/>
        </w:rPr>
        <w:t> </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lang w:val="en-US" w:eastAsia="zh-CN" w:bidi="ar"/>
        </w:rPr>
        <w:instrText xml:space="preserve"> HYPERLINK "https://xxgk.mot.gov.cn/2020/jigou/fgs/202007/javascript:void(0);" </w:instrTex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auto"/>
          <w:spacing w:val="0"/>
          <w:sz w:val="32"/>
          <w:szCs w:val="32"/>
          <w:u w:val="none"/>
        </w:rPr>
        <w:t>【小】</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auto"/>
          <w:spacing w:val="0"/>
          <w:kern w:val="0"/>
          <w:sz w:val="32"/>
          <w:szCs w:val="32"/>
          <w:lang w:val="en-US" w:eastAsia="zh-CN" w:bidi="ar"/>
        </w:rPr>
        <w:t> </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lang w:val="en-US" w:eastAsia="zh-CN" w:bidi="ar"/>
        </w:rPr>
        <w:instrText xml:space="preserve"> HYPERLINK "https://xxgk.mot.gov.cn/2020/jigou/fgs/202007/javascript:window.print();" </w:instrTex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auto"/>
          <w:spacing w:val="0"/>
          <w:sz w:val="32"/>
          <w:szCs w:val="32"/>
          <w:u w:val="none"/>
        </w:rPr>
        <w:t>【打印】</w:t>
      </w:r>
      <w:r>
        <w:rPr>
          <w:rFonts w:hint="default" w:ascii="Times New Roman" w:hAnsi="Times New Roman" w:eastAsia="方正仿宋简体" w:cs="Times New Roman"/>
          <w:i w:val="0"/>
          <w:iCs w:val="0"/>
          <w:caps w:val="0"/>
          <w:color w:val="auto"/>
          <w:spacing w:val="0"/>
          <w:kern w:val="0"/>
          <w:sz w:val="32"/>
          <w:szCs w:val="32"/>
          <w:u w:val="none"/>
          <w:lang w:val="en-US" w:eastAsia="zh-CN" w:bidi="ar"/>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《道路旅客运输及客运站管理规定》已于2020年7月2日经第21次部务会议通过，现予公布，自2020年9月1日起施行。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部 长　李小鹏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2020年7月6日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第一条　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第二条　从事道路旅客运输（以下简称道路客运）经营以及道路旅客运输站（以下简称客运站）经营的，应当遵守本规定。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第三条　本规定所称道路客运经营，是指使用客车运送旅客、为社会公众提供服务、具有商业性质的道路客运活动，包括班车（加班车）客运、包车客运、旅游客运。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（一）班车客运是指客车在城乡道路上按照固定的线路、时间、站点、班次运行的一种客运方式。加班车客运是班车客运的一种补充形式，是在客运班车不能满足需要</w:t>
      </w:r>
      <w:bookmarkStart w:id="0" w:name="_GoBack"/>
      <w:bookmarkEnd w:id="0"/>
      <w:r>
        <w:rPr>
          <w:rFonts w:hint="default" w:ascii="Times New Roman" w:hAnsi="Times New Roman" w:eastAsia="方正仿宋简体" w:cs="Times New Roman"/>
          <w:i w:val="0"/>
          <w:iCs w:val="0"/>
          <w:caps w:val="0"/>
          <w:color w:val="auto"/>
          <w:spacing w:val="0"/>
          <w:sz w:val="32"/>
          <w:szCs w:val="32"/>
        </w:rPr>
        <w:t>或者无法正常运营时，临时增加或者调配客车按客运班车的线路、站点运行的方式。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（二）包车客运是指以运送团体旅客为目的，将客车包租给用户安排使用，提供驾驶劳务，按照约定的起始地、目的地和路线行驶，由包车用户统一支付费用的一种客运方式。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（三）旅游客运是指以运送旅游观光的旅客为目的，在旅游景区内运营或者其线路至少有一端在旅游景区（点）的一种客运方式。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本规定所称客运站经营，是指以站场设施为依托，为道路客运经营者和旅客提供有关运输服务的经营活动。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第四条　道路客运和客运站管理应当坚持以人为本、安全第一的宗旨，遵循公平、公正、公开、便民的原则，打破地区封锁和垄断，促进道路运输市场的统一、开放、竞争、有序，满足广大人民群众的美好出行需求。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道路客运及客运站经营者应当依法经营，诚实信用，公平竞争，优质服务。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鼓励道路客运和客运站相关行业协会加强行业自律。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第五条　国家实行道路客运企业质量信誉考核制度，鼓励道路客运经营者实行规模化、集约化、公司化经营，禁止挂靠经营。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第六条　交通运输部主管全国道路客运及客运站管理工作。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县级以上地方人民政府交通运输主管部门负责组织领导本行政区域的道路客运及客运站管理工作。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县级以上道路运输管理机构负责具体实施道路客运及客运站管理工作。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第七条　道路客运应当与铁路、水路、民航等其他运输方式协调发展、有效衔接，与信息技术、旅游、邮政等关联产业融合发展。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农村道路客运具有公益属性。国家推进城乡道路客运服务一体化，提升公共服务均等化水平。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第二章　经营许可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第八条　班车客运的线路按照经营区域分为以下四种类型：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一类客运班线：跨省级行政区域（毗邻县之间除外）的客运班线。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二类客运班线：在省级行政区域内，跨设区的市级行政区域（毗邻县之间除外）的客运班线。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三类客运班线：在设区的市级行政区域内，跨县级行政区域（毗邻县之间除外）的客运班线。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四类客运班线：县级行政区域内的客运班线或者毗邻县之间的客运班线。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本规定所称毗邻县，包括相互毗邻的县、旗、县级市、下辖乡镇的区。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第九条　包车客运按照经营区域分为省际包车客运和省内包车客运。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省级人民政府交通运输主管部门可以根据实际需要，将省内包车客运分为市际包车客运、县际包车客运和县内包车客运并实行分类管理。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包车客运经营者可以向下兼容包车客运业务。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第十条　旅游客运按照营运方式分为定线旅游客运和非定线旅游客运。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定线旅游客运按照班车客运管理，非定线旅游客运按照包车客运管理。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第十一条　申请从事道路客运经营的，应当具备下列条件：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（一）有与其经营业务相适应并经检测合格的客车：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1.客车技术要求应当符合《道路运输车辆技术管理规定》有关规定。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2.客车类型等级要求：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从事一类、二类客运班线和包车客运的客车，其类型等级应当达到中级以上。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3.客车数量要求：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（1）经营一类客运班线的班车客运经营者应当自有营运客车100辆以上，其中高级客车30辆以上；或者自有高级营运客车40辆以上；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（2）经营二类客运班线的班车客运经营者应当自有营运客车50辆以上，其中中高级客车15辆以上；或者自有高级营运客车20辆以上；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（3）经营三类客运班线的班车客运经营者应当自有营运客车10辆以上；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（4）经营四类客运班线的班车客运经营者应当自有营运客车1辆以上；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（5）经营省际包车客运的经营者，应当自有中高级营运客车20辆以上；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（6）经营省内包车客运的经营者，应当自有营运客车10辆以上。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（二）从事客运经营的驾驶员，应当符合《道路运输从业人员管理规定》有关规定。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（三）有健全的安全生产管理制度，包括安全生产操作规程、安全生产责任制、安全生产监督检查、驾驶员和车辆安全生产管理的制度。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申请从事道路客运班线经营，还应当有明确的线路和站点方案。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第十二条　申请从事道路客运经营的，应当依法向市场监督管理部门办理有关登记手续后，按照下列规定提出申请：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（一）从事一类、二类、三类客运班线经营或者包车客运经营的，向所在地设区的市级道路运输管理机构提出申请；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（二）从事四类客运班线经营的，向所在地县级道路运输管理机构提出申请。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在直辖市申请从事道路客运经营的，应当向直辖市人民政府确定的道路运输管理机构提出申请。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第十三条　申请从事道路客运经营的，应当提供下列材料：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（一）《道路旅客运输经营申请表》（见附件1）；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（二）企业法定代表人或者个体经营者身份证件，经办人的身份证件和委托书；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（三）安全生产管理制度文本；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（四）拟投入车辆和聘用驾驶员承诺，包括客车数量、类型等级、技术等级，聘用的驾驶员具备从业资格。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申请道路客运班线经营的，还应当提供下列材料：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（一）《道路旅客运输班线经营申请表》（见附件2）；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（二）承诺在投入运营前，与起讫地客运站和中途停靠地客运站签订进站协议（农村道路客运班线在乡村一端无客运站的，不作此端的进站承诺）；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（三）运输服务质量承诺书。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第十四条　已获得相应道路客运班线经营许可的经营者，申请新增客运班线时，应当按照本规定第十二条的规定进行申请，并提供第十三条第一款第（四）项、第二款规定的材料以及经办人的身份证件和委托书。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第十五条　申请从事客运站经营的，应当具备下列条件：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（一）客运站经验收合格；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（二）有与业务量相适应的专业人员和管理人员；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（三）有相应的设备、设施；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第十六条　申请从事客运站经营的，应当依法向市场监督管理部门办理有关登记手续后，向所在地县级道路运输管理机构提出申请。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第十七条　申请从事客运站经营的，应当提供下列材料：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（一）《道路旅客运输站经营申请表》（见附件3）；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（二）企业法定代表人或者个体经营者身份证件，经办人的身份证件和委托书；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（三）承诺已具备本规定第十五条规定的条件。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第十八条　县级以上道路运输管理机构应当定期向社会公布本行政区域内的客运运力投放、客运线路布局、主要客流流向和流量等情况。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道路运输管理机构在审查客运申请时，应当考虑客运市场的供求状况、普遍服务和方便群众等因素；在审查营运线路长度在800公里以上的客运班线申请时，还应当进行安全风险评估。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第十九条　道路运输管理机构应当按照《中华人民共和国道路运输条例》和《交通行政许可实施程序规定》以及本规定规范的程序实施道路客运经营、道路客运班线经营和客运站经营的行政许可。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第二十条　道路运输管理机构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运输管理机构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道路运输管理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运输管理机构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道路运输管理机构；对成立线路公司的道路客运班线或者农村道路客运班线，中途停靠地客运站点可以由其经营者自行决定，并告知原许可机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属于一类、二类客运班线的，许可机关应当将《道路客运班线经营行政许可决定书》抄告中途停靠地同级道路运输管理机构。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第二十一条 　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第二十二条 　道路运输管理机构对不符合法定条件的申请作出不予行政许可决定的，应当向申请人出具《不予交通行政许可决定书》，并说明理由。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第二十三条　受理一类、二类客运班线和四类中的毗邻县间客运班线经营申请的，道路运输管理机构应当在受理申请后7日内征求中途停靠地和目的地同级道路运输管理机构意见；同级道路运输管理机构应当在收到之日起10日内反馈，不予同意的，应当依法注明理由，逾期不予答复的，视为同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相关道路运输管理机构对设区的市内毗邻县间客运班线经营申请持不同意见且协商不成的，由受理申请的道路运输管理机构报设区的市级道路运输管理机构决定，并书面通知申请人。相关道路运输管理机构对省际、市际毗邻县间客运班线经营申请持不同意见且协商不成的，由受理申请的道路运输管理机构报设区的市级道路运输管理机构协商，仍协商不成的，报省级道路运输管理机构（协商）决定，并书面通知申请人。相关道路运输管理机构对一类、二类客运班线经营申请持不同意见且协商不成的，由受理申请的道路运输管理机构报省级道路运输管理机构（协商）决定，并书面通知申请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上级道路运输管理机构作出的决定应当书面通知受理申请的道路运输管理机构，由受理申请的道路运输管理机构为申请人办理有关手续。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因客运班线经营期限届满，班车客运经营者重新提出申请的，受理申请的道路运输管理机构不需向中途停靠地和目的地道路运输管理机构再次征求意见。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第二十四条　班车客运经营者应当持进站协议向原许可机关备案起讫地客运站点、途经路线。营运线路长度在800公里以上的客运班线还应当备案车辆号牌。道路运输管理机构应当按照该客运班线车辆数量同时配发班车客运标志牌（见附件7）和《道路客运班线经营信息表》（见附件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第二十六条　因拟从事不同类型客运经营需向不同层级道路运输管理机构申请的，应当由相应层级的道路运输管理机构许可，由最高一级道路运输管理机构核发《道路运输经营许可证》，并注明各级道路运输管理机构许可的经营范围，下级道路运输管理机构不再核发。下级道路运输管理机构已向被许可人发放《道路运输经营许可证》的，上级道路运输管理机构应当予以换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第二十七条　道路客运经营者设立子公司的，应当按照规定向设立地道路运输管理机构申请经营许可；设立分公司的，应当向设立地道路运输管理机构备案。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第二十八条　客运班线经营许可可以通过服务质量招投标的方式实施，并签订经营服务协议。申请人数量达不到招投标要求的，道路运输管理机构应当按照许可条件择优确定客运经营者。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相关道路运输管理机构协商确定通过服务质量招投标方式，实施跨省客运班线经营许可的，可以采取联合招标、各自分别招标等方式进行。一方不实行招投标的，不影响另外一方进行招投标。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道路客运班线经营服务质量招投标管理办法另行制定。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第二十九条　在道路客运班线经营许可过程中，任何单位和个人不得以对等投放运力等不正当理由拒绝、阻挠实施客运班线经营许可。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第三十条　客运经营者、客运站经营者需要变更许可事项，应当向原许可机关提出申请，按本章有关规定办理。班车客运经营者变更起讫地客运站点、途经路线的，应当重新备案。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客运班线的经营主体、起讫地和日发班次下限变更和客运站经营主体、站址变更应当按照重新许可办理。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客运班线许可事项或者备案事项发生变更的，道路运输管理机构应当换发《道路客运班线经营信息表》。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客运经营者和客运站经营者在取得全部经营许可证件后无正当理由超过180日不投入运营，或者运营后连续180日以上停运的，视为自动终止经营。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第三十一条　客运班线的经营期限由其许可机关按照《中华人民共和国道路运输条例》的有关规定确定。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客运经营者终止经营，应当在终止经营后10日内，将相关的《道路运输经营许可证》和《道路运输证》、客运标志牌交回原发放机关。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第三章　客运经营管理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第三十四条　客运经营者应当按照道路运输管理机构决定的许可事项从事客运经营活动，不得转让、出租道路运输经营许可证件。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第三十五条　道路客运班线属于国家所有的公共资源。班车客运经营者取得经营许可后，应当向公众提供连续运输服务，不得擅自暂停、终止或者转让班线运输。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第三十六条　 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第三十七条　客运班车应当按照许可的起讫地、日发班次下限和备案的途经路线运行，在起讫地客运站点和中途停靠地客运站点（以下统称配客站点）上下旅客。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班车不得在规定的配客站点外上客或者沿途揽客，无正当理由不得改变途经路线。客运班车在遵守道路交通安全、城市管理相关法规的前提下，可以在起讫地、中途停靠地所在的城市市区、县城城区沿途下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重大活动期间，客运班车应当按照相关道路运输管理机构指定的配客站点上下旅客。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旅客遗失客票的，经核实其身份信息后，售票人应当免费为其补办客票。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第三十九条　客运经营者不得强迫旅客乘车，不得将旅客交给他人运输，不得甩客，不得敲诈旅客，不得使用低于规定的类型等级营运客车承运，不得阻碍其他经营者的正常经营活动。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第四十条　严禁营运客车超载运行，在载客人数已满的情况下，允许再搭乘不超过核定载客人数10%的免票儿童。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客运班车行李舱装载托运物品时，应当不超过行李舱内径尺寸、不大于客车允许最大总质量与整备质量和核定载客质量之差，并合理均衡配重；对于容易在舱内滚动、滑动的物品应当采取有效的固定措施。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第四十二条　客运经营者应当遵守有关运价规定，使用规定的票证，不得乱涨价、恶意压价、乱收费。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第四十三条　客运经营者应当在客运车辆外部的适当位置喷印企业名称或者标识，在车厢内醒目位置公示驾驶员姓名和从业资格证号、交通运输服务监督电话、票价和里程表。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第四十四条　客运经营者应当为旅客提供良好的乘车环境，确保车辆设备、设施齐全有效，保持车辆清洁、卫生，并采取必要的措施防止在运输过程中发生侵害旅客人身、财产安全的违法行为。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客运经营者应当按照有关规定在发车前进行旅客系固安全带等安全事项告知，运输过程中发生侵害旅客人身、财产安全的治安违法行为时，应当及时向公安机关报告并配合公安机关处理治安违法行为。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客运经营者不得在客运车辆上从事播放淫秽录像等不健康的活动，不得传播、使用破坏社会安定、危害国家安全、煽动民族分裂等非法出版物。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第四十六条　客运经营者应当为旅客投保承运人责任险。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第四十七条　客运经营者应当加强车辆技术管理，建立客运车辆技术状况检查制度，加强对从业人员的安全、职业道德教育和业务知识、操作规程培训，并采取有效措施，防止驾驶员连续驾驶时间超过4个小时。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客运车辆驾驶员应当遵守道路运输法规和道路运输驾驶员操作规程，安全驾驶，文明服务。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第四十八条　客运经营者应当制定突发事件应急预案。应急预案应当包括报告程序、应急指挥、应急车辆和设备的储备以及处置措施等内容。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发生突发事件时，客运经营者应当服从县级以上人民政府或者有关部门的统一调度、指挥。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第四十九条　客运经营者应当建立和完善各类台账和档案，并按照要求及时报送有关资料和信息。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第五十条　旅客应当持有效客票乘车，配合行李物品安全检查，按照规定使用安全带，遵守乘车秩序，文明礼貌；不得携带违禁物品乘车，不得干扰驾驶员安全驾驶。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对旅客拒不配合行李物品安全检查或者坚持携带违禁物品、乘坐实名制管理的客运班线拒不提供本人有效身份证件原件或者票、人、证不一致的，班车客运经营者和客运站经营者不得允许其乘车。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第五十一条　实行实名制管理的班车客运经营者及客运站经营者应当配备必要的设施设备，并加强实名制管理相关人员的培训和相关系统及设施设备的管理，确保符合国家相关法律法规规定。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第五十三条　班车客运经营者或者其委托的售票单位、配客站点应当针对客流高峰、恶劣天气及设备系统故障、重大活动等特殊情况下实名制管理的特点，制定有效的应急预案。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第五十四条　客运车辆驾驶员应当随车携带《道路运输证》、从业资格证等有关证件，在规定位置放置客运标志牌。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第五十五条　有下列情形之一的，客运车辆可以凭临时班车客运标志牌运行：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（一）在特殊时段或者发生突发事件，客运经营者不能满足运力需求，使用其他客运经营者的客车开行加班车的；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（二）因车辆故障、维护等原因，需要调用其他客运经营者的客车接驳或者顶班的；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（三）班车客运标志牌正在制作或者不慎灭失，等待领取的。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第五十六条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第五十七条　客运包车应当凭车籍所在地道路运输管理机构配发的包车客运标志牌，按照约定的时间、起始地、目的地和线路运行，并持有包车合同，不得招揽包车合同外的旅客乘车。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客运包车除执行道路运输管理机构下达的紧急包车任务外，其线路一端应当在车籍所在的设区的市，单个运次不超过15日。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第五十八条　省际临时班车客运标志牌（见附件10）、省际包车客运标志牌（见附件11）由设区的市级道路运输管理机构按照交通运输部的统一式样印制，交由当地县级以上道路运输管理机构向客运经营者配发。省际临时班车客运标志牌和省际包车客运标志牌在一个运次所需的时间内有效。因班车客运标志牌正在制作或者灭失而使用的省际临时班车客运标志牌，有效期不得超过30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从事省际包车客运的企业应当按照交通运输部的统一要求，通过运政管理信息系统向车籍地道路运输管理机构备案。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省内临时班车客运标志牌、省内包车客运标志牌式样及管理要求由各省级人民政府交通运输主管部门自行规定。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第四章　班车客运定制服务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第五十九条　国家鼓励开展班车客运定制服务（以下简称定制客运）。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第六十条　开展定制客运的营运客车（以下简称定制客运车辆）核定载客人数应当在7人及以上。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第六十一条　提供定制客运网络信息服务的电子商务平台（以下简称网络平台），应当依照国家有关法规办理市场主体登记、互联网信息服务许可或者备案等有关手续。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第六十三条　 班车客运经营者开展定制客运的，应当向原许可机关备案，并提供以下材料：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（一）《班车客运定制服务信息表》（见附件12）；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（二）与网络平台签订的合作协议或者相关证明。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网络平台由班车客运经营者自营的，免于提交前款第（二）项材料。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《班车客运定制服务信息表》记载信息发生变更的，班车客运经营者应当重新备案。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第六十四条　班车客运经营者应当在定制客运车辆随车携带的班车客运标志牌显著位置粘贴“定制客运”标识（见附件7）。</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第六十五条　班车客运经营者可以自行决定定制客运日发班次。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定制客运车辆在遵守道路交通安全、城市管理相关法规的前提下，可以在道路客运班线起讫地、中途停靠地的城市市区、县城城区按乘客需求停靠。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网络平台不得超出班车客运经营者的许可范围开展定制客运服务。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第六十六条　班车客运经营者应当为定制客运车辆随车配备便携式安检设备，并由驾驶员或者其他工作人员对旅客行李物品进行安全检查。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第六十七条　网络平台应当提前向旅客提供班车客运经营者、联系方式、车辆品牌、号牌等车辆信息以及乘车地点、时间，并确保发布的提供服务的经营者、车辆和驾驶员与实际提供服务的经营者、车辆和驾驶员一致。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网络平台应当按照道路运输管理机构的要求，如实提供其接入的经营者、车辆、驾驶员信息和相关业务数据。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第六十八条　网络平台发现车辆存在超速、驾驶员疲劳驾驶、未按照规定的线路行驶等违法违规行为的，应当及时通报班车客运经营者。班车客运经营者应当及时纠正。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网络平台使用不符合规定的经营者、车辆或者驾驶员开展定制客运，造成旅客合法权益受到侵害的，应当依法承担相应的责任。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第五章　客运站经营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第六十九条　客运站经营者应当按照道路运输管理机构决定的许可事项从事客运站经营活动，不得转让、出租客运站经营许可证件，不得改变客运站基本用途和服务功能。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客运站经营者应当维护好各种设施、设备，保持其正常使用。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第七十条　客运站经营者和进站发车的客运经营者应当依法自愿签订服务合同，双方按照合同的规定履行各自的权利和义务。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第七十一条　客运站经营者应当依法加强安全管理，完善安全生产条件，健全和落实安全生产责任制。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客运站经营者应当对出站客车进行安全检查，采取措施防止违禁物品进站上车，按照车辆核定载客限额售票，严禁超载车辆或者未经安全检查的车辆出站，保证安全生产。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第七十二条　客运站经营者应当将客运线路、班次等基础信息接入省域道路客运联网售票系统。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鼓励客运站经营者为旅客提供网络售票、自助终端售票等多元化售票服务。鼓励电子客票在道路客运行业的推广应用。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第七十三条　鼓励客运站经营者在客运站所在城市市区、县城城区的客运班线主要途经地点设立停靠点，提供售检票、行李物品安全检查和营运客车停靠服务。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客运站经营者设立停靠点的，应当向原许可机关备案，并在停靠点显著位置公示客运站《道路运输经营许可证》等信息。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第七十四条　客运站经营者应当禁止无证经营的车辆进站从事经营活动，无正当理由不得拒绝合法客运车辆进站经营。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客运站经营者应当坚持公平、公正原则，合理安排发车时间，公平售票。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客运经营者在发车时间安排上发生纠纷，客运站经营者协调无效时，由当地县级以上道路运输管理机构裁定。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第七十五条　客运站经营者应当公布进站客车的类型等级、运输线路、配客站点、班次、发车时间、票价等信息，调度车辆进站发车，疏导旅客，维持秩序。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第七十六条　进站客运经营者应当在发车30分钟前备齐相关证件进站并按时发车；进站客运经营者因故不能发班的，应当提前1日告知客运站经营者，双方要协商调度车辆顶班。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对无故停班达7日以上的进站班车，客运站经营者应当报告当地道路运输管理机构。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客运站经营者在不改变客运站基本服务功能的前提下，可以根据客流变化和市场需要，拓展旅游集散、邮政、物流等服务功能。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客运站经营者从事前款经营活动的，应当遵守相应的法律、行政法规的规定。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第七十八条　客运站经营者应当严格执行价格管理规定，在经营场所公示收费项目和标准，严禁乱收费。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第七十九条　客运站经营者应当按照规定的业务操作规程装卸、储存、保管行包。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第八十条　客运站经营者应当制定突发事件应急预案。应急预案应当包括报告程序、应急指挥、应急设备的储备以及处置措施等内容。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第八十一条　客运站经营者应当建立和完善各类台账和档案，并按照要求报送有关信息。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第六章　监督检查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第八十二条　县级以上道路运输管理机构应当加强对道路客运和客运站经营活动的监督检查。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县级以上道路运输管理机构工作人员应当严格按照法定职责权限和程序，原则上采取随机抽取检查对象、随机选派执法检查人员的方式进行监督检查，监督检查结果应当及时向社会公布。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第八十三条　县级以上道路运输管理机构应当每年对客运车辆进行一次审验。审验内容包括：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（一）车辆违法违章记录；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（二）车辆技术等级评定情况；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（三）车辆类型等级评定情况；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（四）按照规定安装、使用符合标准的具有行驶记录功能的卫星定位装置情况；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（五）客运经营者为客运车辆投保承运人责任险情况。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审验符合要求的，道路运输管理机构在《道路运输证》中注明；不符合要求的，应当责令限期改正或者办理变更手续。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第八十五条　道路运输管理机构的工作人员实施监督检查时，应当有2名以上人员参加，并向当事人出示合法有效的交通运输行政执法证件。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第八十六条　道路运输管理机构的工作人员可以向被检查单位和个人了解情况，查阅和复制有关材料，但应当保守被调查单位和个人的商业秘密。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被监督检查的单位和个人应当接受道路运输管理机构及其工作人员依法实施的监督检查，如实提供有关资料或者说明情况。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第八十七条　道路运输管理机构的工作人员在实施道路运输监督检查过程中，发现客运车辆有超载行为的，应当立即予以制止，移交相关部门处理，并采取相应措施安排旅客改乘。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第八十八条　县级以上道路运输管理机构应当对客运经营者拟投入车辆和聘用驾驶员承诺、进站承诺履行情况开展检查。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第八十九条　客运经营者在许可的道路运输管理机构管辖区域外违法从事经营活动的，违法行为发生地的道路运输管理机构应当依法将当事人的违法事实、处罚结果记录到《道路运输证》上，并抄告作出道路客运经营许可的道路运输管理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第九十条　县级以上道路运输管理机构作出行政处罚决定后，客运经营者拒不履行的，作出行政处罚决定的道路运输管理机构可以将其拒不履行行政处罚决定的事实抄告违法车辆车籍所在地道路运输管理机构，作为能否通过车辆年度审验和决定质量信誉考核结果的重要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第九十一条　道路运输管理机构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违法当事人应当在暂扣凭证规定的时间内到指定地点接受处理。逾期不接受处理的，道路运输管理机构可以依法作出处罚决定，并将处罚决定书送达当事人。当事人无正当理由逾期不履行处罚决定的，道路运输管理机构可以申请人民法院强制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第九十二条　道路运输管理机构应当在道路运政管理信息系统中如实记录道路客运经营者、客运站经营者、网络平台、从业人员的违法行为信息，并按照有关规定将违法行为纳入有关信用信息共享平台。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第七章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（一）未取得道路客运经营许可，擅自从事道路客运经营的；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（二）未取得道路客运班线经营许可，擅自从事班车客运经营的；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（三）使用失效、伪造、变造、被注销等无效的道路客运许可证件从事道路客运经营的；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（四）超越许可事项，从事道路客运经营的。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（一）未取得客运站经营许可，擅自从事客运站经营的；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（二）使用失效、伪造、变造、被注销等无效的客运站许可证件从事客运站经营的；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（三）超越许可事项，从事客运站经营的。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第九十六条　违反本规定，客运经营者有下列行为之一的，由县级以上道路运输管理机构责令限期投保；拒不投保的，由原许可机关吊销相应许可：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（一）未为旅客投保承运人责任险的；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（二）未按照最低投保限额投保的；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（三）投保的承运人责任险已过期，未继续投保的。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违反本规定，客运经营者不按照规定随车携带《道路运输证》的，由县级以上道路运输管理机构责令改正，处警告或者20元以上200元以下的罚款。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第一百条　违反本规定，客运经营者有下列情形之一的，由县级以上道路运输管理机构责令改正，处1000元以上3000元以下的罚款：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（一）客运班车不按照批准的配客站点停靠或者不按照规定的线路、日发班次下限行驶的；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（二）加班车、顶班车、接驳车无正当理由不按照规定的线路、站点运行的；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（三）以欺骗、暴力等手段招揽旅客的；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（四）擅自将旅客移交他人运输的；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（五）在旅客运输途中擅自变更运输车辆的；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（六）未报告原许可机关，擅自终止道路客运经营的；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（七）客运包车未持有效的包车客运标志牌进行经营的，不按照包车客运标志牌载明的事项运行的，线路两端均不在车籍所在地的，招揽包车合同以外的旅客乘车的；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（八）开展定制客运未按照规定备案的；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（九）未按照规定在发车前对旅客进行安全事项告知的。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违反前款第（一）至（六）项规定，情节严重的，由原许可机关吊销相应许可。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第一百零一条　违反本规定，客运经营者、客运站经营者存在重大运输安全隐患等情形，导致不具备安全生产条件，经停产停业整顿仍不具备安全生产条件的，由县级以上道路运输管理机构依法吊销相应许可。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第一百零二条　违反本规定，客运站经营者有下列情形之一的，由县级以上道路运输管理机构责令改正，处1万元以上3万元以下的罚款：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（一）允许无经营证件的车辆进站从事经营活动的；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（二）允许超载车辆出站的；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（三）允许未经安全检查或者安全检查不合格的车辆发车的；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（四）无正当理由拒绝客运车辆进站从事经营活动的；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（五）设立的停靠点未按照规定备案的。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第一百零三条　违反本规定，客运站经营者有下列情形之一的，由县级以上道路运输管理机构责令改正；拒不改正的，处3000元的罚款；有违法所得的，没收违法所得：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（一）擅自改变客运站的用途和服务功能的；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（二）不公布运输线路、配客站点、班次、发车时间、票价的。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第一百零四条　违反本规定，网络平台有下列情形之一的，由县级以上道路运输管理机构责令改正，处3000元以上1万元以下的罚款：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（一）发布的提供服务班车客运经营者与实际提供服务班车客运经营者不一致的；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（二）发布的提供服务车辆与实际提供服务车辆不一致的；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（三）发布的提供服务驾驶员与实际提供服务驾驶员不一致的；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（四）超出班车客运经营者许可范围开展定制客运的。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网络平台接入或者使用不符合规定的班车客运经营者、车辆或者驾驶员开展定制客运的，由县级以上道路运输管理机构责令改正，处1万元以上3万元以下的罚款。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第八章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第一百零五条　本规定所称农村道路客运，是指县级行政区域内或者毗邻县间，起讫地至少有一端在乡村且主要服务于农村居民的旅客运输。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第一百零六条　出租汽车客运、城市公共汽车客运管理根据国家有关规定执行。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第一百零七条　客运经营者从事国际道路旅客运输经营活动，除遵守本规定外，有关从业条件等特殊要求还应当适用交通运输部制定的《国际道路运输管理规定》。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第一百零八条　道路运输管理机构依照本规定发放的道路运输经营许可证件和《道路运输证》，可以收取工本费。工本费的具体收费标准由省、自治区、直辖市人民政府财政、价格主管部门会同同级交通运输主管部门核定。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第一百零九条　已完成承担行政职能的事业单位改革的，由交通运输主管部门承担本规定中道路运输管理机构的相关行政管理职能；已完成综合行政执法改革的，由交通运输综合执法机构承担道路运输行政执法职能。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rPr>
        <w:t>　　第一百一十条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F274F"/>
    <w:rsid w:val="04ED7565"/>
    <w:rsid w:val="119F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2021-10-15T01:32:00Z</dcterms:created>
  <dc:creator>Sophie</dc:creator>
  <cp:lastModifiedBy>Administrator</cp:lastModifiedBy>
  <dcterms:modified xsi:type="dcterms:W3CDTF">2022-03-07T07:55:22Z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FF1F11E89713439692D6834DFFB85D74</vt:lpwstr>
  </property>
</Properties>
</file>