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38" w:rsidRPr="003052D7" w:rsidRDefault="00295638" w:rsidP="00295638">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02002</w:t>
      </w:r>
    </w:p>
    <w:p w:rsidR="00AC6EAD" w:rsidRPr="00B63A17" w:rsidRDefault="00AC6EAD" w:rsidP="00295638">
      <w:pPr>
        <w:spacing w:line="520" w:lineRule="exact"/>
        <w:jc w:val="center"/>
        <w:rPr>
          <w:rFonts w:ascii="Times New Roman" w:eastAsia="黑体" w:hAnsi="Times New Roman" w:cs="Times New Roman"/>
          <w:color w:val="000000" w:themeColor="text1"/>
          <w:sz w:val="36"/>
          <w:szCs w:val="36"/>
        </w:rPr>
      </w:pPr>
    </w:p>
    <w:p w:rsidR="00AA726F" w:rsidRPr="003052D7" w:rsidRDefault="00AA726F" w:rsidP="00295638">
      <w:pPr>
        <w:spacing w:line="52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益阳市发展和改革委员会</w:t>
      </w:r>
    </w:p>
    <w:p w:rsidR="00AA726F" w:rsidRPr="003052D7" w:rsidRDefault="00AA726F" w:rsidP="00295638">
      <w:pPr>
        <w:spacing w:line="52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w:t>
      </w:r>
      <w:r w:rsidRPr="003052D7">
        <w:rPr>
          <w:rFonts w:ascii="Times New Roman" w:eastAsia="方正小标宋简体" w:hAnsi="Times New Roman" w:cs="Times New Roman"/>
          <w:bCs/>
          <w:color w:val="000000" w:themeColor="text1"/>
          <w:sz w:val="44"/>
          <w:szCs w:val="44"/>
        </w:rPr>
        <w:t xml:space="preserve">  </w:t>
      </w:r>
      <w:r w:rsidRPr="003052D7">
        <w:rPr>
          <w:rFonts w:ascii="Times New Roman" w:eastAsia="方正小标宋简体" w:hAnsi="Times New Roman" w:cs="Times New Roman"/>
          <w:bCs/>
          <w:color w:val="000000" w:themeColor="text1"/>
          <w:sz w:val="44"/>
          <w:szCs w:val="44"/>
        </w:rPr>
        <w:t>阳</w:t>
      </w:r>
      <w:r w:rsidRPr="003052D7">
        <w:rPr>
          <w:rFonts w:ascii="Times New Roman" w:eastAsia="方正小标宋简体" w:hAnsi="Times New Roman" w:cs="Times New Roman"/>
          <w:bCs/>
          <w:color w:val="000000" w:themeColor="text1"/>
          <w:sz w:val="44"/>
          <w:szCs w:val="44"/>
        </w:rPr>
        <w:t xml:space="preserve">  </w:t>
      </w:r>
      <w:r w:rsidRPr="003052D7">
        <w:rPr>
          <w:rFonts w:ascii="Times New Roman" w:eastAsia="方正小标宋简体" w:hAnsi="Times New Roman" w:cs="Times New Roman"/>
          <w:bCs/>
          <w:color w:val="000000" w:themeColor="text1"/>
          <w:sz w:val="44"/>
          <w:szCs w:val="44"/>
        </w:rPr>
        <w:t>市</w:t>
      </w:r>
      <w:r w:rsidRPr="003052D7">
        <w:rPr>
          <w:rFonts w:ascii="Times New Roman" w:eastAsia="方正小标宋简体" w:hAnsi="Times New Roman" w:cs="Times New Roman"/>
          <w:bCs/>
          <w:color w:val="000000" w:themeColor="text1"/>
          <w:sz w:val="44"/>
          <w:szCs w:val="44"/>
        </w:rPr>
        <w:t xml:space="preserve">  </w:t>
      </w:r>
      <w:r w:rsidRPr="003052D7">
        <w:rPr>
          <w:rFonts w:ascii="Times New Roman" w:eastAsia="方正小标宋简体" w:hAnsi="Times New Roman" w:cs="Times New Roman"/>
          <w:bCs/>
          <w:color w:val="000000" w:themeColor="text1"/>
          <w:sz w:val="44"/>
          <w:szCs w:val="44"/>
        </w:rPr>
        <w:t>民</w:t>
      </w:r>
      <w:r w:rsidRPr="003052D7">
        <w:rPr>
          <w:rFonts w:ascii="Times New Roman" w:eastAsia="方正小标宋简体" w:hAnsi="Times New Roman" w:cs="Times New Roman"/>
          <w:bCs/>
          <w:color w:val="000000" w:themeColor="text1"/>
          <w:sz w:val="44"/>
          <w:szCs w:val="44"/>
        </w:rPr>
        <w:t xml:space="preserve">  </w:t>
      </w:r>
      <w:r w:rsidRPr="003052D7">
        <w:rPr>
          <w:rFonts w:ascii="Times New Roman" w:eastAsia="方正小标宋简体" w:hAnsi="Times New Roman" w:cs="Times New Roman"/>
          <w:bCs/>
          <w:color w:val="000000" w:themeColor="text1"/>
          <w:sz w:val="44"/>
          <w:szCs w:val="44"/>
        </w:rPr>
        <w:t>政</w:t>
      </w:r>
      <w:r w:rsidRPr="003052D7">
        <w:rPr>
          <w:rFonts w:ascii="Times New Roman" w:eastAsia="方正小标宋简体" w:hAnsi="Times New Roman" w:cs="Times New Roman"/>
          <w:bCs/>
          <w:color w:val="000000" w:themeColor="text1"/>
          <w:sz w:val="44"/>
          <w:szCs w:val="44"/>
        </w:rPr>
        <w:t xml:space="preserve">  </w:t>
      </w:r>
      <w:r w:rsidRPr="003052D7">
        <w:rPr>
          <w:rFonts w:ascii="Times New Roman" w:eastAsia="方正小标宋简体" w:hAnsi="Times New Roman" w:cs="Times New Roman"/>
          <w:bCs/>
          <w:color w:val="000000" w:themeColor="text1"/>
          <w:sz w:val="44"/>
          <w:szCs w:val="44"/>
        </w:rPr>
        <w:t>局</w:t>
      </w:r>
    </w:p>
    <w:p w:rsidR="00AA726F" w:rsidRPr="003052D7" w:rsidRDefault="00AA726F" w:rsidP="00295638">
      <w:pPr>
        <w:spacing w:line="520" w:lineRule="exact"/>
        <w:jc w:val="center"/>
        <w:rPr>
          <w:rFonts w:ascii="Times New Roman" w:eastAsia="方正小标宋简体" w:hAnsi="Times New Roman" w:cs="Times New Roman"/>
          <w:bCs/>
          <w:color w:val="000000" w:themeColor="text1"/>
          <w:sz w:val="44"/>
          <w:szCs w:val="44"/>
        </w:rPr>
      </w:pPr>
      <w:r w:rsidRPr="00160121">
        <w:rPr>
          <w:rFonts w:ascii="Times New Roman" w:eastAsia="方正小标宋简体" w:hAnsi="Times New Roman" w:cs="Times New Roman"/>
          <w:bCs/>
          <w:color w:val="000000" w:themeColor="text1"/>
          <w:spacing w:val="24"/>
          <w:kern w:val="0"/>
          <w:sz w:val="44"/>
          <w:szCs w:val="44"/>
          <w:fitText w:val="4840" w:id="-606443776"/>
        </w:rPr>
        <w:t>益阳市市场监督管理</w:t>
      </w:r>
      <w:r w:rsidRPr="00160121">
        <w:rPr>
          <w:rFonts w:ascii="Times New Roman" w:eastAsia="方正小标宋简体" w:hAnsi="Times New Roman" w:cs="Times New Roman"/>
          <w:bCs/>
          <w:color w:val="000000" w:themeColor="text1"/>
          <w:spacing w:val="4"/>
          <w:kern w:val="0"/>
          <w:sz w:val="44"/>
          <w:szCs w:val="44"/>
          <w:fitText w:val="4840" w:id="-606443776"/>
        </w:rPr>
        <w:t>局</w:t>
      </w:r>
    </w:p>
    <w:p w:rsidR="00AA726F" w:rsidRPr="003052D7" w:rsidRDefault="00AA726F" w:rsidP="00295638">
      <w:pPr>
        <w:spacing w:line="52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关于调整益阳市城区殡葬服务项目</w:t>
      </w:r>
    </w:p>
    <w:p w:rsidR="00AC6EAD" w:rsidRPr="003052D7" w:rsidRDefault="00AA726F" w:rsidP="00295638">
      <w:pPr>
        <w:spacing w:line="520" w:lineRule="exact"/>
        <w:jc w:val="center"/>
        <w:rPr>
          <w:rFonts w:ascii="Times New Roman" w:eastAsia="方正小标宋简体" w:hAnsi="Times New Roman" w:cs="Times New Roman"/>
          <w:bCs/>
          <w:color w:val="000000" w:themeColor="text1"/>
          <w:sz w:val="44"/>
          <w:szCs w:val="44"/>
          <w:highlight w:val="yellow"/>
        </w:rPr>
      </w:pPr>
      <w:r w:rsidRPr="003052D7">
        <w:rPr>
          <w:rFonts w:ascii="Times New Roman" w:eastAsia="方正小标宋简体" w:hAnsi="Times New Roman" w:cs="Times New Roman"/>
          <w:bCs/>
          <w:color w:val="000000" w:themeColor="text1"/>
          <w:sz w:val="44"/>
          <w:szCs w:val="44"/>
        </w:rPr>
        <w:t>收费标准及有关事项的通知</w:t>
      </w:r>
    </w:p>
    <w:p w:rsidR="00AC6EAD" w:rsidRPr="003052D7" w:rsidRDefault="00AA726F" w:rsidP="00295638">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益发改价费规〔</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61</w:t>
      </w:r>
      <w:r w:rsidRPr="003052D7">
        <w:rPr>
          <w:rFonts w:ascii="Times New Roman" w:eastAsia="方正仿宋简体" w:hAnsi="Times New Roman" w:cs="Times New Roman"/>
          <w:color w:val="000000" w:themeColor="text1"/>
          <w:sz w:val="32"/>
          <w:szCs w:val="32"/>
        </w:rPr>
        <w:t>号</w:t>
      </w:r>
    </w:p>
    <w:p w:rsidR="00AC6EAD" w:rsidRPr="003052D7" w:rsidRDefault="00AC6EAD" w:rsidP="00295638">
      <w:pPr>
        <w:spacing w:line="520" w:lineRule="exact"/>
        <w:jc w:val="center"/>
        <w:rPr>
          <w:rFonts w:ascii="Times New Roman" w:eastAsia="黑体" w:hAnsi="Times New Roman" w:cs="Times New Roman"/>
          <w:sz w:val="36"/>
          <w:szCs w:val="36"/>
        </w:rPr>
      </w:pPr>
    </w:p>
    <w:p w:rsidR="00AC6EAD" w:rsidRPr="003052D7" w:rsidRDefault="00AC6EAD" w:rsidP="00AC6EAD">
      <w:pPr>
        <w:spacing w:line="520" w:lineRule="exact"/>
        <w:jc w:val="center"/>
        <w:rPr>
          <w:rFonts w:ascii="Times New Roman" w:eastAsia="黑体" w:hAnsi="Times New Roman" w:cs="Times New Roman"/>
          <w:sz w:val="36"/>
          <w:szCs w:val="36"/>
        </w:rPr>
        <w:sectPr w:rsidR="00AC6EAD" w:rsidRPr="003052D7" w:rsidSect="00AC6EAD">
          <w:pgSz w:w="11906" w:h="16838" w:code="9"/>
          <w:pgMar w:top="1814" w:right="1247" w:bottom="1701" w:left="1304" w:header="1304" w:footer="1134" w:gutter="0"/>
          <w:cols w:space="720"/>
          <w:docGrid w:type="lines" w:linePitch="435"/>
        </w:sectPr>
      </w:pPr>
    </w:p>
    <w:p w:rsidR="00AC6EAD" w:rsidRPr="003052D7" w:rsidRDefault="00AA726F" w:rsidP="00AC6EAD">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益阳市福寿园生命文化有限公司：</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为加强殡仪馆服务收费管理，进一步规范殡葬收费行为，减轻群众殡葬负担，保障群众基本殡葬服务需求，根据《湖南省定价目录》《湖南省发展和改革委员会</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湖南省民政厅</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湖南省市场监督管理局〈关于进一步规范我省殡葬服务价格管理〉的通知》（湘发改价费规〔</w:t>
      </w:r>
      <w:r w:rsidRPr="003052D7">
        <w:rPr>
          <w:rFonts w:ascii="Times New Roman" w:eastAsia="宋体" w:hAnsi="Times New Roman" w:cs="Times New Roman"/>
          <w:bCs/>
          <w:color w:val="000000" w:themeColor="text1"/>
          <w:szCs w:val="21"/>
          <w:lang w:bidi="zh-TW"/>
        </w:rPr>
        <w:t>2021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675</w:t>
      </w:r>
      <w:r w:rsidRPr="003052D7">
        <w:rPr>
          <w:rFonts w:ascii="Times New Roman" w:eastAsia="宋体" w:hAnsi="Times New Roman" w:cs="Times New Roman"/>
          <w:bCs/>
          <w:color w:val="000000" w:themeColor="text1"/>
          <w:szCs w:val="21"/>
          <w:lang w:bidi="zh-TW"/>
        </w:rPr>
        <w:t>号）等规定，经召开听证会广泛听取意见，并报市人民政府同意，现将市城区殡葬服务项目及收费标准通知如下：</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一、对市殡仪馆基本殡葬服务项目和延伸服务项目分别实行政府定价和政府指导价管理（具体价格标准见附件）。</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你单位要做好宣传解释和服务工作，应在经营场所的醒目位置和宣传资料上公示服务项目、服务内容、服务规程、收费标准和价格投诉举报电话等内容，自觉接受社会监督和发改、民政、市监部门检查，未经公示的项目不得收费。</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三、本批复自</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日起执行，有效期五年。其他与本通知不符的规定同时废止。执行期间国家、省如有新的政策出台，按新规定执行。</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00F622AC">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益阳市殡仪馆实行政府定价管理的殡葬基本服务项目及收费标准明细表</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00F622AC">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益阳市殡仪馆政府实行政府指导价管理的殡葬配套服务项目及收费标准明细表</w:t>
      </w: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p>
    <w:p w:rsidR="00AA726F" w:rsidRPr="003052D7" w:rsidRDefault="00AA726F" w:rsidP="00AA726F">
      <w:pPr>
        <w:spacing w:line="390" w:lineRule="exact"/>
        <w:ind w:firstLineChars="200" w:firstLine="420"/>
        <w:rPr>
          <w:rFonts w:ascii="Times New Roman" w:eastAsia="宋体" w:hAnsi="Times New Roman" w:cs="Times New Roman"/>
          <w:bCs/>
          <w:color w:val="000000" w:themeColor="text1"/>
          <w:szCs w:val="21"/>
          <w:lang w:bidi="zh-TW"/>
        </w:rPr>
      </w:pPr>
    </w:p>
    <w:p w:rsidR="00AA726F" w:rsidRPr="003052D7" w:rsidRDefault="00AA726F" w:rsidP="00295638">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益阳市发展和改革委员会</w:t>
      </w:r>
    </w:p>
    <w:p w:rsidR="00AA726F" w:rsidRPr="003052D7" w:rsidRDefault="00AA726F" w:rsidP="00295638">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益阳市民政局</w:t>
      </w:r>
    </w:p>
    <w:p w:rsidR="00AA726F" w:rsidRPr="003052D7" w:rsidRDefault="00AA726F" w:rsidP="00295638">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益阳市市场监督管理局</w:t>
      </w:r>
    </w:p>
    <w:p w:rsidR="00AC6EAD" w:rsidRPr="003052D7" w:rsidRDefault="00AA726F" w:rsidP="00295638">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日</w:t>
      </w:r>
    </w:p>
    <w:p w:rsidR="00AC6EAD" w:rsidRPr="003052D7" w:rsidRDefault="00AC6EAD" w:rsidP="00AC6EAD">
      <w:pPr>
        <w:spacing w:line="390" w:lineRule="exact"/>
        <w:ind w:firstLineChars="200" w:firstLine="420"/>
        <w:jc w:val="center"/>
        <w:rPr>
          <w:rFonts w:ascii="Times New Roman" w:eastAsia="宋体" w:hAnsi="Times New Roman" w:cs="Times New Roman"/>
          <w:bCs/>
          <w:color w:val="000000" w:themeColor="text1"/>
          <w:szCs w:val="21"/>
          <w:lang w:bidi="zh-TW"/>
        </w:rPr>
        <w:sectPr w:rsidR="00AC6EAD" w:rsidRPr="003052D7" w:rsidSect="00295638">
          <w:type w:val="continuous"/>
          <w:pgSz w:w="11906" w:h="16838" w:code="9"/>
          <w:pgMar w:top="1814" w:right="1247" w:bottom="1701" w:left="1304" w:header="1304" w:footer="1134" w:gutter="0"/>
          <w:cols w:space="481"/>
          <w:docGrid w:type="lines" w:linePitch="435"/>
        </w:sectPr>
      </w:pPr>
    </w:p>
    <w:p w:rsidR="00AC6EAD" w:rsidRPr="003052D7" w:rsidRDefault="00AC6EAD" w:rsidP="00AC6EAD">
      <w:pPr>
        <w:spacing w:line="520" w:lineRule="exact"/>
        <w:jc w:val="center"/>
        <w:rPr>
          <w:rFonts w:ascii="Times New Roman" w:eastAsia="黑体" w:hAnsi="Times New Roman" w:cs="Times New Roman"/>
          <w:color w:val="000000"/>
          <w:sz w:val="36"/>
          <w:szCs w:val="36"/>
          <w:lang w:val="zh-TW" w:bidi="zh-TW"/>
        </w:rPr>
        <w:sectPr w:rsidR="00AC6EAD" w:rsidRPr="003052D7" w:rsidSect="00121BF5">
          <w:type w:val="continuous"/>
          <w:pgSz w:w="11906" w:h="16838" w:code="9"/>
          <w:pgMar w:top="1814" w:right="1247" w:bottom="1701" w:left="1304" w:header="1304" w:footer="1134" w:gutter="0"/>
          <w:cols w:num="2" w:space="481"/>
          <w:docGrid w:type="lines" w:linePitch="435"/>
        </w:sectPr>
      </w:pPr>
    </w:p>
    <w:p w:rsidR="00AA726F" w:rsidRPr="003052D7" w:rsidRDefault="00AA726F" w:rsidP="00AA726F">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p>
    <w:p w:rsidR="00AA726F" w:rsidRPr="003052D7" w:rsidRDefault="00AA726F" w:rsidP="00AA726F">
      <w:pPr>
        <w:spacing w:line="520" w:lineRule="exact"/>
        <w:jc w:val="center"/>
        <w:rPr>
          <w:rFonts w:ascii="Times New Roman" w:eastAsia="黑体" w:hAnsi="Times New Roman" w:cs="Times New Roman"/>
          <w:color w:val="000000"/>
          <w:szCs w:val="21"/>
          <w:lang w:val="zh-TW" w:bidi="zh-TW"/>
        </w:rPr>
      </w:pPr>
    </w:p>
    <w:p w:rsidR="00652EF1" w:rsidRPr="003052D7" w:rsidRDefault="00AA726F" w:rsidP="00AA726F">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益阳市殡仪馆实行政府定价管理的</w:t>
      </w:r>
    </w:p>
    <w:p w:rsidR="00AC6EAD" w:rsidRPr="003052D7" w:rsidRDefault="00AA726F" w:rsidP="00AA726F">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殡葬基本服务项目及收费标准明细表</w:t>
      </w:r>
    </w:p>
    <w:p w:rsidR="00AA726F" w:rsidRPr="003052D7" w:rsidRDefault="00AA726F" w:rsidP="00AA726F">
      <w:pPr>
        <w:spacing w:line="520" w:lineRule="exact"/>
        <w:jc w:val="center"/>
        <w:rPr>
          <w:rFonts w:ascii="Times New Roman" w:eastAsia="黑体" w:hAnsi="Times New Roman" w:cs="Times New Roman"/>
          <w:color w:val="000000"/>
          <w:sz w:val="36"/>
          <w:szCs w:val="36"/>
          <w:lang w:val="zh-TW" w:bidi="zh-TW"/>
        </w:rPr>
      </w:pPr>
    </w:p>
    <w:tbl>
      <w:tblPr>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5"/>
        <w:gridCol w:w="1750"/>
        <w:gridCol w:w="1191"/>
        <w:gridCol w:w="854"/>
        <w:gridCol w:w="714"/>
        <w:gridCol w:w="3331"/>
        <w:gridCol w:w="1079"/>
      </w:tblGrid>
      <w:tr w:rsidR="00AA726F" w:rsidRPr="003052D7" w:rsidTr="00AA726F">
        <w:trPr>
          <w:trHeight w:hRule="exact" w:val="695"/>
          <w:jc w:val="center"/>
        </w:trPr>
        <w:tc>
          <w:tcPr>
            <w:tcW w:w="445"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序号</w:t>
            </w:r>
          </w:p>
        </w:tc>
        <w:tc>
          <w:tcPr>
            <w:tcW w:w="1750"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定价项目</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单位</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单价（元）</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定价类型</w:t>
            </w:r>
          </w:p>
        </w:tc>
        <w:tc>
          <w:tcPr>
            <w:tcW w:w="3331"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服务内容</w:t>
            </w:r>
          </w:p>
        </w:tc>
        <w:tc>
          <w:tcPr>
            <w:tcW w:w="1079" w:type="dxa"/>
            <w:vAlign w:val="center"/>
          </w:tcPr>
          <w:p w:rsidR="00AA726F" w:rsidRPr="003052D7" w:rsidRDefault="00AA726F" w:rsidP="00AA726F">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备注</w:t>
            </w:r>
          </w:p>
        </w:tc>
      </w:tr>
      <w:tr w:rsidR="00AA726F" w:rsidRPr="003052D7" w:rsidTr="00AA726F">
        <w:trPr>
          <w:trHeight w:val="2450"/>
          <w:jc w:val="center"/>
        </w:trPr>
        <w:tc>
          <w:tcPr>
            <w:tcW w:w="445"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1</w:t>
            </w:r>
          </w:p>
        </w:tc>
        <w:tc>
          <w:tcPr>
            <w:tcW w:w="1750"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遗体接运</w:t>
            </w:r>
            <w:r w:rsidRPr="003052D7">
              <w:rPr>
                <w:rFonts w:ascii="Times New Roman" w:hAnsi="Times New Roman" w:cs="Times New Roman"/>
                <w:kern w:val="0"/>
                <w:szCs w:val="21"/>
              </w:rPr>
              <w:t>（含遗体消毒费）</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r w:rsidRPr="003052D7">
              <w:rPr>
                <w:rFonts w:ascii="Times New Roman" w:hAnsi="Times New Roman" w:cs="Times New Roman"/>
                <w:kern w:val="0"/>
                <w:szCs w:val="21"/>
              </w:rPr>
              <w:t>/</w:t>
            </w:r>
            <w:r w:rsidRPr="003052D7">
              <w:rPr>
                <w:rFonts w:ascii="Times New Roman" w:hAnsi="Times New Roman" w:cs="Times New Roman"/>
                <w:szCs w:val="21"/>
              </w:rPr>
              <w:t>趟</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200</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政府定价</w:t>
            </w:r>
          </w:p>
        </w:tc>
        <w:tc>
          <w:tcPr>
            <w:tcW w:w="3331" w:type="dxa"/>
            <w:vAlign w:val="center"/>
          </w:tcPr>
          <w:p w:rsidR="00AA726F" w:rsidRPr="003052D7" w:rsidRDefault="00AA726F" w:rsidP="00AA726F">
            <w:pPr>
              <w:spacing w:line="300" w:lineRule="exact"/>
              <w:rPr>
                <w:rFonts w:ascii="Times New Roman" w:hAnsi="Times New Roman" w:cs="Times New Roman"/>
                <w:szCs w:val="21"/>
              </w:rPr>
            </w:pPr>
            <w:r w:rsidRPr="003052D7">
              <w:rPr>
                <w:rFonts w:ascii="Times New Roman" w:hAnsi="Times New Roman" w:cs="Times New Roman"/>
                <w:kern w:val="0"/>
                <w:szCs w:val="21"/>
              </w:rPr>
              <w:t>城区往返</w:t>
            </w:r>
            <w:r w:rsidRPr="003052D7">
              <w:rPr>
                <w:rFonts w:ascii="Times New Roman" w:hAnsi="Times New Roman" w:cs="Times New Roman"/>
                <w:kern w:val="0"/>
                <w:szCs w:val="21"/>
              </w:rPr>
              <w:t>30</w:t>
            </w:r>
            <w:r w:rsidRPr="003052D7">
              <w:rPr>
                <w:rFonts w:ascii="Times New Roman" w:hAnsi="Times New Roman" w:cs="Times New Roman"/>
                <w:kern w:val="0"/>
                <w:szCs w:val="21"/>
              </w:rPr>
              <w:t>公里以内不另收费，超过</w:t>
            </w:r>
            <w:r w:rsidRPr="003052D7">
              <w:rPr>
                <w:rFonts w:ascii="Times New Roman" w:hAnsi="Times New Roman" w:cs="Times New Roman"/>
                <w:kern w:val="0"/>
                <w:szCs w:val="21"/>
              </w:rPr>
              <w:t>30</w:t>
            </w:r>
            <w:r w:rsidRPr="003052D7">
              <w:rPr>
                <w:rFonts w:ascii="Times New Roman" w:hAnsi="Times New Roman" w:cs="Times New Roman"/>
                <w:kern w:val="0"/>
                <w:szCs w:val="21"/>
              </w:rPr>
              <w:t>公里的的每公里按</w:t>
            </w:r>
            <w:r w:rsidRPr="003052D7">
              <w:rPr>
                <w:rFonts w:ascii="Times New Roman" w:hAnsi="Times New Roman" w:cs="Times New Roman"/>
                <w:kern w:val="0"/>
                <w:szCs w:val="21"/>
              </w:rPr>
              <w:t>3</w:t>
            </w:r>
            <w:r w:rsidRPr="003052D7">
              <w:rPr>
                <w:rFonts w:ascii="Times New Roman" w:hAnsi="Times New Roman" w:cs="Times New Roman"/>
                <w:kern w:val="0"/>
                <w:szCs w:val="21"/>
              </w:rPr>
              <w:t>元计费加收。遗体抬运</w:t>
            </w:r>
            <w:r w:rsidRPr="003052D7">
              <w:rPr>
                <w:rFonts w:ascii="Times New Roman" w:hAnsi="Times New Roman" w:cs="Times New Roman"/>
                <w:kern w:val="0"/>
                <w:szCs w:val="21"/>
              </w:rPr>
              <w:t>60</w:t>
            </w: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具（平面抬运及二楼以下），二楼及以上每增加一层楼加收</w:t>
            </w:r>
            <w:r w:rsidRPr="003052D7">
              <w:rPr>
                <w:rFonts w:ascii="Times New Roman" w:hAnsi="Times New Roman" w:cs="Times New Roman"/>
                <w:kern w:val="0"/>
                <w:szCs w:val="21"/>
              </w:rPr>
              <w:t>10</w:t>
            </w: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层，如使用电梯不另加收抬运费。</w:t>
            </w:r>
          </w:p>
        </w:tc>
        <w:tc>
          <w:tcPr>
            <w:tcW w:w="1079" w:type="dxa"/>
            <w:vAlign w:val="center"/>
          </w:tcPr>
          <w:p w:rsidR="00AA726F" w:rsidRPr="003052D7" w:rsidRDefault="00AA726F" w:rsidP="00AA726F">
            <w:pPr>
              <w:spacing w:line="300" w:lineRule="exact"/>
              <w:rPr>
                <w:rFonts w:ascii="Times New Roman" w:hAnsi="Times New Roman" w:cs="Times New Roman"/>
                <w:kern w:val="0"/>
                <w:szCs w:val="21"/>
              </w:rPr>
            </w:pPr>
            <w:r w:rsidRPr="003052D7">
              <w:rPr>
                <w:rFonts w:ascii="Times New Roman" w:hAnsi="Times New Roman" w:cs="Times New Roman"/>
                <w:kern w:val="0"/>
                <w:szCs w:val="21"/>
              </w:rPr>
              <w:t>往返</w:t>
            </w:r>
            <w:r w:rsidRPr="003052D7">
              <w:rPr>
                <w:rFonts w:ascii="Times New Roman" w:hAnsi="Times New Roman" w:cs="Times New Roman"/>
                <w:kern w:val="0"/>
                <w:szCs w:val="21"/>
              </w:rPr>
              <w:t>500</w:t>
            </w:r>
            <w:r w:rsidRPr="003052D7">
              <w:rPr>
                <w:rFonts w:ascii="Times New Roman" w:hAnsi="Times New Roman" w:cs="Times New Roman"/>
                <w:kern w:val="0"/>
                <w:szCs w:val="21"/>
              </w:rPr>
              <w:t>公里以上的按非盈利性原则协商。</w:t>
            </w:r>
          </w:p>
        </w:tc>
      </w:tr>
      <w:tr w:rsidR="00AA726F" w:rsidRPr="003052D7" w:rsidTr="00AA726F">
        <w:trPr>
          <w:trHeight w:val="777"/>
          <w:jc w:val="center"/>
        </w:trPr>
        <w:tc>
          <w:tcPr>
            <w:tcW w:w="445"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2</w:t>
            </w:r>
          </w:p>
        </w:tc>
        <w:tc>
          <w:tcPr>
            <w:tcW w:w="1750"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遗体存放（冷藏）</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r w:rsidRPr="003052D7">
              <w:rPr>
                <w:rFonts w:ascii="Times New Roman" w:hAnsi="Times New Roman" w:cs="Times New Roman"/>
                <w:kern w:val="0"/>
                <w:szCs w:val="21"/>
              </w:rPr>
              <w:t>/</w:t>
            </w:r>
            <w:r w:rsidRPr="003052D7">
              <w:rPr>
                <w:rFonts w:ascii="Times New Roman" w:hAnsi="Times New Roman" w:cs="Times New Roman"/>
                <w:szCs w:val="21"/>
              </w:rPr>
              <w:t>小时</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7</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政府定价</w:t>
            </w:r>
          </w:p>
        </w:tc>
        <w:tc>
          <w:tcPr>
            <w:tcW w:w="3331" w:type="dxa"/>
            <w:vAlign w:val="center"/>
          </w:tcPr>
          <w:p w:rsidR="00AA726F" w:rsidRPr="003052D7" w:rsidRDefault="00AA726F" w:rsidP="00AA726F">
            <w:pPr>
              <w:spacing w:line="300" w:lineRule="exact"/>
              <w:rPr>
                <w:rFonts w:ascii="Times New Roman" w:hAnsi="Times New Roman" w:cs="Times New Roman"/>
                <w:szCs w:val="21"/>
              </w:rPr>
            </w:pPr>
            <w:r w:rsidRPr="003052D7">
              <w:rPr>
                <w:rFonts w:ascii="Times New Roman" w:hAnsi="Times New Roman" w:cs="Times New Roman"/>
                <w:szCs w:val="21"/>
              </w:rPr>
              <w:t>将遗体放入遗体冷藏或冷冻设备内，以低温方式保存遗体。</w:t>
            </w:r>
          </w:p>
        </w:tc>
        <w:tc>
          <w:tcPr>
            <w:tcW w:w="1079" w:type="dxa"/>
            <w:vAlign w:val="center"/>
          </w:tcPr>
          <w:p w:rsidR="00AA726F" w:rsidRPr="003052D7" w:rsidRDefault="00AA726F" w:rsidP="00AA726F">
            <w:pPr>
              <w:spacing w:line="300" w:lineRule="exact"/>
              <w:rPr>
                <w:rFonts w:ascii="Times New Roman" w:hAnsi="Times New Roman" w:cs="Times New Roman"/>
                <w:szCs w:val="21"/>
              </w:rPr>
            </w:pPr>
          </w:p>
        </w:tc>
      </w:tr>
      <w:tr w:rsidR="00AA726F" w:rsidRPr="003052D7" w:rsidTr="00AA726F">
        <w:trPr>
          <w:trHeight w:val="777"/>
          <w:jc w:val="center"/>
        </w:trPr>
        <w:tc>
          <w:tcPr>
            <w:tcW w:w="445" w:type="dxa"/>
            <w:vAlign w:val="center"/>
          </w:tcPr>
          <w:p w:rsidR="00AA726F" w:rsidRPr="003052D7" w:rsidRDefault="00AA726F" w:rsidP="00AA726F">
            <w:pPr>
              <w:spacing w:line="300" w:lineRule="exact"/>
              <w:jc w:val="center"/>
              <w:rPr>
                <w:rFonts w:ascii="Times New Roman" w:hAnsi="Times New Roman" w:cs="Times New Roman"/>
                <w:szCs w:val="21"/>
              </w:rPr>
            </w:pPr>
            <w:r w:rsidRPr="003052D7">
              <w:rPr>
                <w:rFonts w:ascii="Times New Roman" w:hAnsi="Times New Roman" w:cs="Times New Roman"/>
                <w:szCs w:val="21"/>
              </w:rPr>
              <w:t>3</w:t>
            </w:r>
          </w:p>
        </w:tc>
        <w:tc>
          <w:tcPr>
            <w:tcW w:w="1750" w:type="dxa"/>
            <w:vAlign w:val="center"/>
          </w:tcPr>
          <w:p w:rsidR="00AA726F" w:rsidRPr="003052D7" w:rsidRDefault="00AA726F" w:rsidP="00AA726F">
            <w:pPr>
              <w:widowControl/>
              <w:spacing w:line="300" w:lineRule="exact"/>
              <w:textAlignment w:val="center"/>
              <w:rPr>
                <w:rFonts w:ascii="Times New Roman" w:hAnsi="Times New Roman" w:cs="Times New Roman"/>
                <w:bCs/>
                <w:szCs w:val="21"/>
              </w:rPr>
            </w:pPr>
            <w:r w:rsidRPr="003052D7">
              <w:rPr>
                <w:rFonts w:ascii="Times New Roman" w:hAnsi="Times New Roman" w:cs="Times New Roman"/>
                <w:szCs w:val="21"/>
              </w:rPr>
              <w:t>平板炉遗体火化</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bCs/>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bCs/>
                <w:szCs w:val="21"/>
              </w:rPr>
            </w:pPr>
            <w:r w:rsidRPr="003052D7">
              <w:rPr>
                <w:rFonts w:ascii="Times New Roman" w:hAnsi="Times New Roman" w:cs="Times New Roman"/>
                <w:bCs/>
                <w:szCs w:val="21"/>
              </w:rPr>
              <w:t>420</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政府定价</w:t>
            </w:r>
          </w:p>
        </w:tc>
        <w:tc>
          <w:tcPr>
            <w:tcW w:w="3331" w:type="dxa"/>
            <w:vAlign w:val="center"/>
          </w:tcPr>
          <w:p w:rsidR="00AA726F" w:rsidRPr="003052D7" w:rsidRDefault="00AA726F" w:rsidP="00AA726F">
            <w:pPr>
              <w:spacing w:line="300" w:lineRule="exact"/>
              <w:rPr>
                <w:rFonts w:ascii="Times New Roman" w:hAnsi="Times New Roman" w:cs="Times New Roman"/>
                <w:szCs w:val="21"/>
              </w:rPr>
            </w:pPr>
            <w:r w:rsidRPr="003052D7">
              <w:rPr>
                <w:rFonts w:ascii="Times New Roman" w:hAnsi="Times New Roman" w:cs="Times New Roman"/>
                <w:szCs w:val="21"/>
              </w:rPr>
              <w:t>儿童</w:t>
            </w:r>
            <w:r w:rsidRPr="003052D7">
              <w:rPr>
                <w:rFonts w:ascii="Times New Roman" w:hAnsi="Times New Roman" w:cs="Times New Roman"/>
                <w:szCs w:val="21"/>
              </w:rPr>
              <w:t>180</w:t>
            </w: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1079" w:type="dxa"/>
            <w:vAlign w:val="center"/>
          </w:tcPr>
          <w:p w:rsidR="00AA726F" w:rsidRPr="003052D7" w:rsidRDefault="00AA726F" w:rsidP="00AA726F">
            <w:pPr>
              <w:spacing w:line="300" w:lineRule="exact"/>
              <w:rPr>
                <w:rFonts w:ascii="Times New Roman" w:hAnsi="Times New Roman" w:cs="Times New Roman"/>
                <w:szCs w:val="21"/>
              </w:rPr>
            </w:pPr>
          </w:p>
        </w:tc>
      </w:tr>
      <w:tr w:rsidR="00AA726F" w:rsidRPr="003052D7" w:rsidTr="00AA726F">
        <w:trPr>
          <w:trHeight w:val="777"/>
          <w:jc w:val="center"/>
        </w:trPr>
        <w:tc>
          <w:tcPr>
            <w:tcW w:w="445" w:type="dxa"/>
            <w:vAlign w:val="center"/>
          </w:tcPr>
          <w:p w:rsidR="00AA726F" w:rsidRPr="003052D7" w:rsidRDefault="00AA726F" w:rsidP="00AA726F">
            <w:pPr>
              <w:spacing w:line="300" w:lineRule="exact"/>
              <w:jc w:val="center"/>
              <w:rPr>
                <w:rFonts w:ascii="Times New Roman" w:hAnsi="Times New Roman" w:cs="Times New Roman"/>
                <w:szCs w:val="21"/>
              </w:rPr>
            </w:pPr>
            <w:r w:rsidRPr="003052D7">
              <w:rPr>
                <w:rFonts w:ascii="Times New Roman" w:hAnsi="Times New Roman" w:cs="Times New Roman"/>
                <w:szCs w:val="21"/>
              </w:rPr>
              <w:t>4</w:t>
            </w:r>
          </w:p>
        </w:tc>
        <w:tc>
          <w:tcPr>
            <w:tcW w:w="1750"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捡灰炉遗体火化</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880</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政府定价</w:t>
            </w:r>
          </w:p>
        </w:tc>
        <w:tc>
          <w:tcPr>
            <w:tcW w:w="3331"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p>
        </w:tc>
        <w:tc>
          <w:tcPr>
            <w:tcW w:w="1079"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p>
        </w:tc>
      </w:tr>
      <w:tr w:rsidR="00AA726F" w:rsidRPr="003052D7" w:rsidTr="00AA726F">
        <w:trPr>
          <w:trHeight w:val="777"/>
          <w:jc w:val="center"/>
        </w:trPr>
        <w:tc>
          <w:tcPr>
            <w:tcW w:w="445"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5</w:t>
            </w:r>
          </w:p>
        </w:tc>
        <w:tc>
          <w:tcPr>
            <w:tcW w:w="1750" w:type="dxa"/>
            <w:vAlign w:val="center"/>
          </w:tcPr>
          <w:p w:rsidR="00AA726F" w:rsidRPr="003052D7" w:rsidRDefault="00AA726F" w:rsidP="00AA726F">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骨灰寄存</w:t>
            </w:r>
          </w:p>
        </w:tc>
        <w:tc>
          <w:tcPr>
            <w:tcW w:w="1191"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盒</w:t>
            </w:r>
            <w:r w:rsidRPr="003052D7">
              <w:rPr>
                <w:rFonts w:ascii="Times New Roman" w:hAnsi="Times New Roman" w:cs="Times New Roman"/>
                <w:kern w:val="0"/>
                <w:szCs w:val="21"/>
              </w:rPr>
              <w:t>/</w:t>
            </w:r>
            <w:r w:rsidRPr="003052D7">
              <w:rPr>
                <w:rFonts w:ascii="Times New Roman" w:hAnsi="Times New Roman" w:cs="Times New Roman"/>
                <w:szCs w:val="21"/>
              </w:rPr>
              <w:t>月</w:t>
            </w:r>
          </w:p>
        </w:tc>
        <w:tc>
          <w:tcPr>
            <w:tcW w:w="85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6.5</w:t>
            </w:r>
          </w:p>
        </w:tc>
        <w:tc>
          <w:tcPr>
            <w:tcW w:w="714" w:type="dxa"/>
            <w:vAlign w:val="center"/>
          </w:tcPr>
          <w:p w:rsidR="00AA726F" w:rsidRPr="003052D7" w:rsidRDefault="00AA726F" w:rsidP="00AA726F">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政府定价</w:t>
            </w:r>
          </w:p>
        </w:tc>
        <w:tc>
          <w:tcPr>
            <w:tcW w:w="3331" w:type="dxa"/>
            <w:vAlign w:val="center"/>
          </w:tcPr>
          <w:p w:rsidR="00AA726F" w:rsidRPr="003052D7" w:rsidRDefault="00AA726F" w:rsidP="00AA726F">
            <w:pPr>
              <w:spacing w:line="300" w:lineRule="exact"/>
              <w:rPr>
                <w:rFonts w:ascii="Times New Roman" w:hAnsi="Times New Roman" w:cs="Times New Roman"/>
                <w:szCs w:val="21"/>
              </w:rPr>
            </w:pPr>
          </w:p>
        </w:tc>
        <w:tc>
          <w:tcPr>
            <w:tcW w:w="1079" w:type="dxa"/>
            <w:vAlign w:val="center"/>
          </w:tcPr>
          <w:p w:rsidR="00AA726F" w:rsidRPr="003052D7" w:rsidRDefault="00AA726F" w:rsidP="00AA726F">
            <w:pPr>
              <w:spacing w:line="300" w:lineRule="exact"/>
              <w:rPr>
                <w:rFonts w:ascii="Times New Roman" w:hAnsi="Times New Roman" w:cs="Times New Roman"/>
                <w:szCs w:val="21"/>
              </w:rPr>
            </w:pPr>
          </w:p>
        </w:tc>
      </w:tr>
    </w:tbl>
    <w:p w:rsidR="00AA726F" w:rsidRPr="003052D7" w:rsidRDefault="00AA726F" w:rsidP="00AA726F">
      <w:pPr>
        <w:spacing w:line="520" w:lineRule="exact"/>
        <w:jc w:val="center"/>
        <w:rPr>
          <w:rFonts w:ascii="Times New Roman" w:eastAsia="黑体" w:hAnsi="Times New Roman" w:cs="Times New Roman"/>
          <w:color w:val="000000"/>
          <w:sz w:val="36"/>
          <w:szCs w:val="36"/>
          <w:lang w:val="zh-TW" w:bidi="zh-TW"/>
        </w:rPr>
      </w:pPr>
    </w:p>
    <w:p w:rsidR="00AA726F" w:rsidRPr="003052D7" w:rsidRDefault="00AA726F">
      <w:pPr>
        <w:widowControl/>
        <w:jc w:val="left"/>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br w:type="page"/>
      </w:r>
    </w:p>
    <w:p w:rsidR="00AC6EAD" w:rsidRPr="003052D7" w:rsidRDefault="00AC6EAD" w:rsidP="00AC6EAD">
      <w:pPr>
        <w:spacing w:line="520" w:lineRule="exact"/>
        <w:jc w:val="center"/>
        <w:rPr>
          <w:rFonts w:ascii="Times New Roman" w:eastAsia="黑体" w:hAnsi="Times New Roman" w:cs="Times New Roman"/>
          <w:color w:val="000000"/>
          <w:sz w:val="36"/>
          <w:szCs w:val="36"/>
          <w:lang w:val="zh-TW" w:bidi="zh-TW"/>
        </w:rPr>
        <w:sectPr w:rsidR="00AC6EAD" w:rsidRPr="003052D7" w:rsidSect="00782C5D">
          <w:type w:val="continuous"/>
          <w:pgSz w:w="11906" w:h="16838" w:code="9"/>
          <w:pgMar w:top="1814" w:right="1247" w:bottom="1701" w:left="1304" w:header="1304" w:footer="1134" w:gutter="0"/>
          <w:cols w:space="481"/>
          <w:docGrid w:type="lines" w:linePitch="435"/>
        </w:sectPr>
      </w:pPr>
    </w:p>
    <w:p w:rsidR="00AA726F" w:rsidRPr="003052D7" w:rsidRDefault="00AA726F" w:rsidP="00AA726F">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2</w:t>
      </w:r>
    </w:p>
    <w:p w:rsidR="00652EF1" w:rsidRPr="003052D7" w:rsidRDefault="00652EF1" w:rsidP="00AA726F">
      <w:pPr>
        <w:spacing w:line="520" w:lineRule="exact"/>
        <w:jc w:val="center"/>
        <w:rPr>
          <w:rFonts w:ascii="Times New Roman" w:eastAsia="黑体" w:hAnsi="Times New Roman" w:cs="Times New Roman"/>
          <w:color w:val="000000"/>
          <w:sz w:val="36"/>
          <w:szCs w:val="36"/>
          <w:lang w:val="zh-TW" w:bidi="zh-TW"/>
        </w:rPr>
      </w:pPr>
    </w:p>
    <w:p w:rsidR="00652EF1" w:rsidRPr="003052D7" w:rsidRDefault="00AA726F" w:rsidP="00AA726F">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益阳市殡仪馆政府实行政府指导价管理的</w:t>
      </w:r>
    </w:p>
    <w:p w:rsidR="00AA726F" w:rsidRPr="003052D7" w:rsidRDefault="00AA726F" w:rsidP="00652EF1">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殡葬配套服务项目及收费标准明细表</w:t>
      </w:r>
    </w:p>
    <w:p w:rsidR="00652EF1" w:rsidRPr="003052D7" w:rsidRDefault="00652EF1" w:rsidP="00652EF1">
      <w:pPr>
        <w:spacing w:line="520" w:lineRule="exact"/>
        <w:jc w:val="center"/>
        <w:rPr>
          <w:rFonts w:ascii="Times New Roman" w:eastAsia="方正大标宋简体" w:hAnsi="Times New Roman" w:cs="Times New Roman"/>
          <w:bCs/>
          <w:kern w:val="0"/>
          <w:sz w:val="44"/>
          <w:szCs w:val="4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8"/>
        <w:gridCol w:w="1554"/>
        <w:gridCol w:w="1078"/>
        <w:gridCol w:w="846"/>
        <w:gridCol w:w="876"/>
        <w:gridCol w:w="2841"/>
        <w:gridCol w:w="1792"/>
      </w:tblGrid>
      <w:tr w:rsidR="00AA726F" w:rsidRPr="003052D7" w:rsidTr="00652EF1">
        <w:trPr>
          <w:trHeight w:val="567"/>
          <w:tblHeader/>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序号</w:t>
            </w:r>
          </w:p>
        </w:tc>
        <w:tc>
          <w:tcPr>
            <w:tcW w:w="1554"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定价项目</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单位</w:t>
            </w:r>
          </w:p>
        </w:tc>
        <w:tc>
          <w:tcPr>
            <w:tcW w:w="846" w:type="dxa"/>
            <w:vAlign w:val="center"/>
          </w:tcPr>
          <w:p w:rsidR="00652EF1"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单价</w:t>
            </w:r>
          </w:p>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（元）</w:t>
            </w:r>
          </w:p>
        </w:tc>
        <w:tc>
          <w:tcPr>
            <w:tcW w:w="876" w:type="dxa"/>
            <w:vAlign w:val="center"/>
          </w:tcPr>
          <w:p w:rsidR="00652EF1"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定价</w:t>
            </w:r>
          </w:p>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类型</w:t>
            </w:r>
          </w:p>
        </w:tc>
        <w:tc>
          <w:tcPr>
            <w:tcW w:w="2841"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服务内容</w:t>
            </w:r>
          </w:p>
        </w:tc>
        <w:tc>
          <w:tcPr>
            <w:tcW w:w="1792"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备注</w:t>
            </w:r>
          </w:p>
        </w:tc>
      </w:tr>
      <w:tr w:rsidR="00AA726F" w:rsidRPr="003052D7" w:rsidTr="00652EF1">
        <w:trPr>
          <w:trHeight w:val="895"/>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1</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遗体洁身</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90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rPr>
                <w:rFonts w:ascii="Times New Roman" w:hAnsi="Times New Roman" w:cs="Times New Roman"/>
                <w:szCs w:val="21"/>
              </w:rPr>
            </w:pPr>
            <w:r w:rsidRPr="003052D7">
              <w:rPr>
                <w:rFonts w:ascii="Times New Roman" w:hAnsi="Times New Roman" w:cs="Times New Roman"/>
                <w:szCs w:val="21"/>
              </w:rPr>
              <w:t>对遗体进行清洁卫生处理。</w:t>
            </w:r>
          </w:p>
        </w:tc>
        <w:tc>
          <w:tcPr>
            <w:tcW w:w="1792" w:type="dxa"/>
            <w:vMerge w:val="restart"/>
            <w:vAlign w:val="center"/>
          </w:tcPr>
          <w:p w:rsidR="00AA726F" w:rsidRPr="003052D7" w:rsidRDefault="00AA726F" w:rsidP="00652EF1">
            <w:pPr>
              <w:widowControl/>
              <w:spacing w:line="280" w:lineRule="exact"/>
              <w:rPr>
                <w:rFonts w:ascii="Times New Roman" w:hAnsi="Times New Roman" w:cs="Times New Roman"/>
                <w:szCs w:val="21"/>
              </w:rPr>
            </w:pPr>
            <w:r w:rsidRPr="003052D7">
              <w:rPr>
                <w:rFonts w:ascii="Times New Roman" w:hAnsi="Times New Roman" w:cs="Times New Roman"/>
                <w:kern w:val="0"/>
                <w:szCs w:val="21"/>
              </w:rPr>
              <w:t>遗体洁身、遗体更衣两项服务同时开展</w:t>
            </w:r>
            <w:r w:rsidRPr="003052D7">
              <w:rPr>
                <w:rFonts w:ascii="Times New Roman" w:hAnsi="Times New Roman" w:cs="Times New Roman"/>
                <w:kern w:val="0"/>
                <w:szCs w:val="21"/>
              </w:rPr>
              <w:t>140</w:t>
            </w: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具。对非正常遗体按利润不能超过</w:t>
            </w:r>
            <w:r w:rsidRPr="003052D7">
              <w:rPr>
                <w:rFonts w:ascii="Times New Roman" w:hAnsi="Times New Roman" w:cs="Times New Roman"/>
                <w:kern w:val="0"/>
                <w:szCs w:val="21"/>
              </w:rPr>
              <w:t>15%</w:t>
            </w:r>
            <w:r w:rsidRPr="003052D7">
              <w:rPr>
                <w:rFonts w:ascii="Times New Roman" w:hAnsi="Times New Roman" w:cs="Times New Roman"/>
                <w:kern w:val="0"/>
                <w:szCs w:val="21"/>
              </w:rPr>
              <w:t>的原则协商。</w:t>
            </w:r>
          </w:p>
        </w:tc>
      </w:tr>
      <w:tr w:rsidR="00AA726F" w:rsidRPr="003052D7" w:rsidTr="00652EF1">
        <w:trPr>
          <w:trHeight w:val="895"/>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2</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遗体更衣</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szCs w:val="21"/>
              </w:rPr>
              <w:t>80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rPr>
                <w:rFonts w:ascii="Times New Roman" w:hAnsi="Times New Roman" w:cs="Times New Roman"/>
                <w:szCs w:val="21"/>
              </w:rPr>
            </w:pPr>
            <w:r w:rsidRPr="003052D7">
              <w:rPr>
                <w:rFonts w:ascii="Times New Roman" w:hAnsi="Times New Roman" w:cs="Times New Roman"/>
                <w:szCs w:val="21"/>
              </w:rPr>
              <w:t>按殡仪程序或客户要求对遗体更换衣物。</w:t>
            </w:r>
          </w:p>
        </w:tc>
        <w:tc>
          <w:tcPr>
            <w:tcW w:w="1792" w:type="dxa"/>
            <w:vMerge/>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3</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遗体化妆</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100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对遗体容貌进行修饰和美化。</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对非正常遗体按利润不能超过</w:t>
            </w:r>
            <w:r w:rsidRPr="003052D7">
              <w:rPr>
                <w:rFonts w:ascii="Times New Roman" w:hAnsi="Times New Roman" w:cs="Times New Roman"/>
                <w:kern w:val="0"/>
                <w:szCs w:val="21"/>
              </w:rPr>
              <w:t>15%</w:t>
            </w:r>
            <w:r w:rsidRPr="003052D7">
              <w:rPr>
                <w:rFonts w:ascii="Times New Roman" w:hAnsi="Times New Roman" w:cs="Times New Roman"/>
                <w:kern w:val="0"/>
                <w:szCs w:val="21"/>
              </w:rPr>
              <w:t>的原则协商。</w:t>
            </w: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4</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遗体化学防腐保存</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szCs w:val="21"/>
              </w:rPr>
              <w:t>200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采用化学药剂防腐保存遗体。</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5</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遗体包裹</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100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按民族习俗对遗体进行包裹。</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对非正常遗体，按利润不能超过</w:t>
            </w:r>
            <w:r w:rsidRPr="003052D7">
              <w:rPr>
                <w:rFonts w:ascii="Times New Roman" w:hAnsi="Times New Roman" w:cs="Times New Roman"/>
                <w:kern w:val="0"/>
                <w:szCs w:val="21"/>
              </w:rPr>
              <w:t>15%</w:t>
            </w:r>
            <w:r w:rsidRPr="003052D7">
              <w:rPr>
                <w:rFonts w:ascii="Times New Roman" w:hAnsi="Times New Roman" w:cs="Times New Roman"/>
                <w:kern w:val="0"/>
                <w:szCs w:val="21"/>
              </w:rPr>
              <w:t>的原则协商。</w:t>
            </w: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6</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协助尸检</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元</w:t>
            </w:r>
            <w:r w:rsidRPr="003052D7">
              <w:rPr>
                <w:rFonts w:ascii="Times New Roman" w:hAnsi="Times New Roman" w:cs="Times New Roman"/>
                <w:kern w:val="0"/>
                <w:szCs w:val="21"/>
              </w:rPr>
              <w:t>/</w:t>
            </w:r>
            <w:r w:rsidRPr="003052D7">
              <w:rPr>
                <w:rFonts w:ascii="Times New Roman" w:hAnsi="Times New Roman" w:cs="Times New Roman"/>
                <w:kern w:val="0"/>
                <w:szCs w:val="21"/>
              </w:rPr>
              <w:t>具</w:t>
            </w:r>
            <w:r w:rsidRPr="003052D7">
              <w:rPr>
                <w:rFonts w:ascii="Times New Roman" w:hAnsi="Times New Roman" w:cs="Times New Roman"/>
                <w:kern w:val="0"/>
                <w:szCs w:val="21"/>
              </w:rPr>
              <w:t>/</w:t>
            </w:r>
            <w:r w:rsidRPr="003052D7">
              <w:rPr>
                <w:rFonts w:ascii="Times New Roman" w:hAnsi="Times New Roman" w:cs="Times New Roman"/>
                <w:kern w:val="0"/>
                <w:szCs w:val="21"/>
              </w:rPr>
              <w:t>次</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120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公安部门检验非正常死亡遗体提供验尸场地和服务人员（含解剖台、水电、药物等）。</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7</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特殊遗体解冻</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具</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90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对处于冷冻状态的特殊遗体进行解冻。</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8</w:t>
            </w:r>
          </w:p>
        </w:tc>
        <w:tc>
          <w:tcPr>
            <w:tcW w:w="1554" w:type="dxa"/>
            <w:vAlign w:val="center"/>
          </w:tcPr>
          <w:p w:rsidR="00AA726F" w:rsidRPr="003052D7" w:rsidRDefault="00AA726F" w:rsidP="00652EF1">
            <w:pPr>
              <w:widowControl/>
              <w:spacing w:line="280" w:lineRule="exact"/>
              <w:textAlignment w:val="center"/>
              <w:rPr>
                <w:rFonts w:ascii="Times New Roman" w:hAnsi="Times New Roman" w:cs="Times New Roman"/>
                <w:kern w:val="0"/>
                <w:szCs w:val="21"/>
              </w:rPr>
            </w:pPr>
            <w:r w:rsidRPr="003052D7">
              <w:rPr>
                <w:rFonts w:ascii="Times New Roman" w:hAnsi="Times New Roman" w:cs="Times New Roman"/>
                <w:color w:val="000000"/>
                <w:kern w:val="0"/>
                <w:szCs w:val="21"/>
              </w:rPr>
              <w:t>划拨土地经营性公墓墓位（格位）、公益性墓位（格位）或其他安葬设施用地</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座</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color w:val="000000"/>
                <w:szCs w:val="21"/>
              </w:rPr>
              <w:t>单人墓位</w:t>
            </w:r>
            <w:r w:rsidRPr="003052D7">
              <w:rPr>
                <w:rFonts w:ascii="Times New Roman" w:hAnsi="Times New Roman" w:cs="Times New Roman"/>
                <w:color w:val="000000"/>
                <w:szCs w:val="21"/>
              </w:rPr>
              <w:t>7750</w:t>
            </w:r>
            <w:r w:rsidRPr="003052D7">
              <w:rPr>
                <w:rFonts w:ascii="Times New Roman" w:hAnsi="Times New Roman" w:cs="Times New Roman"/>
                <w:color w:val="000000"/>
                <w:szCs w:val="21"/>
              </w:rPr>
              <w:t>元</w:t>
            </w:r>
            <w:r w:rsidRPr="003052D7">
              <w:rPr>
                <w:rFonts w:ascii="Times New Roman" w:hAnsi="Times New Roman" w:cs="Times New Roman"/>
                <w:color w:val="000000"/>
                <w:szCs w:val="21"/>
              </w:rPr>
              <w:t>/</w:t>
            </w:r>
            <w:r w:rsidRPr="003052D7">
              <w:rPr>
                <w:rFonts w:ascii="Times New Roman" w:hAnsi="Times New Roman" w:cs="Times New Roman"/>
                <w:color w:val="000000"/>
                <w:szCs w:val="21"/>
              </w:rPr>
              <w:t>座，双人墓位</w:t>
            </w:r>
            <w:r w:rsidRPr="003052D7">
              <w:rPr>
                <w:rFonts w:ascii="Times New Roman" w:hAnsi="Times New Roman" w:cs="Times New Roman"/>
                <w:color w:val="000000"/>
                <w:szCs w:val="21"/>
              </w:rPr>
              <w:t>12400</w:t>
            </w:r>
            <w:r w:rsidRPr="003052D7">
              <w:rPr>
                <w:rFonts w:ascii="Times New Roman" w:hAnsi="Times New Roman" w:cs="Times New Roman"/>
                <w:color w:val="000000"/>
                <w:szCs w:val="21"/>
              </w:rPr>
              <w:t>元</w:t>
            </w:r>
            <w:r w:rsidRPr="003052D7">
              <w:rPr>
                <w:rFonts w:ascii="Times New Roman" w:hAnsi="Times New Roman" w:cs="Times New Roman"/>
                <w:color w:val="000000"/>
                <w:szCs w:val="21"/>
              </w:rPr>
              <w:t>/</w:t>
            </w:r>
            <w:r w:rsidRPr="003052D7">
              <w:rPr>
                <w:rFonts w:ascii="Times New Roman" w:hAnsi="Times New Roman" w:cs="Times New Roman"/>
                <w:color w:val="000000"/>
                <w:szCs w:val="21"/>
              </w:rPr>
              <w:t>座。</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color w:val="000000"/>
                <w:szCs w:val="21"/>
              </w:rPr>
              <w:t>此项收费标准按（益发改价费〔</w:t>
            </w:r>
            <w:r w:rsidRPr="003052D7">
              <w:rPr>
                <w:rFonts w:ascii="Times New Roman" w:hAnsi="Times New Roman" w:cs="Times New Roman"/>
                <w:color w:val="000000"/>
                <w:szCs w:val="21"/>
              </w:rPr>
              <w:t>2024</w:t>
            </w:r>
            <w:r w:rsidRPr="003052D7">
              <w:rPr>
                <w:rFonts w:ascii="Times New Roman" w:hAnsi="Times New Roman" w:cs="Times New Roman"/>
                <w:color w:val="000000"/>
                <w:szCs w:val="21"/>
              </w:rPr>
              <w:t>〕</w:t>
            </w:r>
            <w:r w:rsidRPr="003052D7">
              <w:rPr>
                <w:rFonts w:ascii="Times New Roman" w:hAnsi="Times New Roman" w:cs="Times New Roman"/>
                <w:color w:val="000000"/>
                <w:szCs w:val="21"/>
              </w:rPr>
              <w:t>91</w:t>
            </w:r>
            <w:r w:rsidRPr="003052D7">
              <w:rPr>
                <w:rFonts w:ascii="Times New Roman" w:hAnsi="Times New Roman" w:cs="Times New Roman"/>
                <w:color w:val="000000"/>
                <w:szCs w:val="21"/>
              </w:rPr>
              <w:t>号）文件执行。</w:t>
            </w: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9</w:t>
            </w:r>
          </w:p>
        </w:tc>
        <w:tc>
          <w:tcPr>
            <w:tcW w:w="1554" w:type="dxa"/>
            <w:vAlign w:val="center"/>
          </w:tcPr>
          <w:p w:rsidR="00AA726F" w:rsidRPr="003052D7" w:rsidRDefault="00AA726F" w:rsidP="00652EF1">
            <w:pPr>
              <w:widowControl/>
              <w:spacing w:line="280" w:lineRule="exact"/>
              <w:textAlignment w:val="center"/>
              <w:rPr>
                <w:rFonts w:ascii="Times New Roman" w:hAnsi="Times New Roman" w:cs="Times New Roman"/>
                <w:kern w:val="0"/>
                <w:szCs w:val="21"/>
              </w:rPr>
            </w:pPr>
            <w:r w:rsidRPr="003052D7">
              <w:rPr>
                <w:rFonts w:ascii="Times New Roman" w:hAnsi="Times New Roman" w:cs="Times New Roman"/>
                <w:color w:val="000000"/>
                <w:kern w:val="0"/>
                <w:szCs w:val="21"/>
              </w:rPr>
              <w:t>划拨土地经营性公墓、公益性公墓落葬服务</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次</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200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28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将遗骸或骨灰落葬在公墓，每例遗骸或骨灰安葬的开穴、安放、封穴等施工费、环境管理费用等。</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10</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color w:val="000000"/>
                <w:kern w:val="0"/>
                <w:szCs w:val="21"/>
              </w:rPr>
              <w:t>划拨土地经营性公墓、公益性公墓的维护管理</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年</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80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对公墓设施进行维修、保养和管理（一次性收费不超过</w:t>
            </w:r>
            <w:r w:rsidRPr="003052D7">
              <w:rPr>
                <w:rFonts w:ascii="Times New Roman" w:hAnsi="Times New Roman" w:cs="Times New Roman"/>
                <w:kern w:val="0"/>
                <w:szCs w:val="21"/>
              </w:rPr>
              <w:t>20</w:t>
            </w:r>
            <w:r w:rsidRPr="003052D7">
              <w:rPr>
                <w:rFonts w:ascii="Times New Roman" w:hAnsi="Times New Roman" w:cs="Times New Roman"/>
                <w:kern w:val="0"/>
                <w:szCs w:val="21"/>
              </w:rPr>
              <w:t>年自购墓之日起计算。其中双人墓位管理费按单人墓位管理费的</w:t>
            </w:r>
            <w:r w:rsidRPr="003052D7">
              <w:rPr>
                <w:rFonts w:ascii="Times New Roman" w:hAnsi="Times New Roman" w:cs="Times New Roman"/>
                <w:kern w:val="0"/>
                <w:szCs w:val="21"/>
              </w:rPr>
              <w:t>1.6</w:t>
            </w:r>
            <w:r w:rsidRPr="003052D7">
              <w:rPr>
                <w:rFonts w:ascii="Times New Roman" w:hAnsi="Times New Roman" w:cs="Times New Roman"/>
                <w:kern w:val="0"/>
                <w:szCs w:val="21"/>
              </w:rPr>
              <w:t>倍收取）。</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lastRenderedPageBreak/>
              <w:t>11</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格位维护</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格</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color w:val="000000"/>
                <w:kern w:val="0"/>
                <w:szCs w:val="21"/>
              </w:rPr>
              <w:t>暂无此项服务</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12</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证件制作</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件</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制作安葬（放）逝者遗体、遗骸、骨灰等的相关证件。</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13</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档案查询</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元</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次</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为客户查询逝者相关殡葬服务信息。</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p>
        </w:tc>
      </w:tr>
      <w:tr w:rsidR="00AA726F" w:rsidRPr="003052D7" w:rsidTr="00652EF1">
        <w:trPr>
          <w:trHeight w:val="567"/>
          <w:jc w:val="center"/>
        </w:trPr>
        <w:tc>
          <w:tcPr>
            <w:tcW w:w="458" w:type="dxa"/>
            <w:vAlign w:val="center"/>
          </w:tcPr>
          <w:p w:rsidR="00AA726F" w:rsidRPr="003052D7" w:rsidRDefault="00AA726F" w:rsidP="00652EF1">
            <w:pPr>
              <w:spacing w:line="300" w:lineRule="exact"/>
              <w:jc w:val="center"/>
              <w:rPr>
                <w:rFonts w:ascii="Times New Roman" w:hAnsi="Times New Roman" w:cs="Times New Roman"/>
                <w:szCs w:val="21"/>
              </w:rPr>
            </w:pPr>
            <w:r w:rsidRPr="003052D7">
              <w:rPr>
                <w:rFonts w:ascii="Times New Roman" w:hAnsi="Times New Roman" w:cs="Times New Roman"/>
                <w:szCs w:val="21"/>
              </w:rPr>
              <w:t>14</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泰山厅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小时</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105</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Merge w:val="restart"/>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含电子显示屏（不含大屏）、休息室、水晶棺材、音响设备、话筒、凳椅、沙发、电香烛、电火盆、物资储存柜、办公座椅、进厅前卫生清扫、大小遗像架子、讣告用水牌架子、跪垫、厅内张贴、冻机围棺。</w:t>
            </w:r>
          </w:p>
        </w:tc>
        <w:tc>
          <w:tcPr>
            <w:tcW w:w="1792" w:type="dxa"/>
            <w:vMerge w:val="restart"/>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需要使用空调，空调电费另行收取，按照上一年度平均电价和礼厅空调额定功率和实际用电时间核算实际电费。</w:t>
            </w:r>
          </w:p>
        </w:tc>
      </w:tr>
      <w:tr w:rsidR="00AA726F" w:rsidRPr="003052D7" w:rsidTr="00B16FEB">
        <w:trPr>
          <w:trHeight w:val="567"/>
          <w:jc w:val="center"/>
        </w:trPr>
        <w:tc>
          <w:tcPr>
            <w:tcW w:w="458" w:type="dxa"/>
            <w:vAlign w:val="center"/>
          </w:tcPr>
          <w:p w:rsidR="00AA726F" w:rsidRPr="003052D7" w:rsidRDefault="00AA726F" w:rsidP="00652EF1">
            <w:pPr>
              <w:spacing w:line="300" w:lineRule="exact"/>
              <w:jc w:val="center"/>
              <w:rPr>
                <w:rFonts w:ascii="Times New Roman" w:hAnsi="Times New Roman" w:cs="Times New Roman"/>
                <w:szCs w:val="21"/>
              </w:rPr>
            </w:pPr>
            <w:r w:rsidRPr="003052D7">
              <w:rPr>
                <w:rFonts w:ascii="Times New Roman" w:hAnsi="Times New Roman" w:cs="Times New Roman"/>
                <w:szCs w:val="21"/>
              </w:rPr>
              <w:t>15</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恒山厅、华山厅、黄山厅、嵩山厅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小时</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70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c>
          <w:tcPr>
            <w:tcW w:w="1792"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r>
      <w:tr w:rsidR="00AA726F" w:rsidRPr="003052D7" w:rsidTr="00B16FEB">
        <w:trPr>
          <w:trHeight w:val="567"/>
          <w:jc w:val="center"/>
        </w:trPr>
        <w:tc>
          <w:tcPr>
            <w:tcW w:w="458" w:type="dxa"/>
            <w:vAlign w:val="center"/>
          </w:tcPr>
          <w:p w:rsidR="00AA726F" w:rsidRPr="003052D7" w:rsidRDefault="00AA726F" w:rsidP="00652EF1">
            <w:pPr>
              <w:spacing w:line="300" w:lineRule="exact"/>
              <w:jc w:val="center"/>
              <w:rPr>
                <w:rFonts w:ascii="Times New Roman" w:hAnsi="Times New Roman" w:cs="Times New Roman"/>
                <w:szCs w:val="21"/>
              </w:rPr>
            </w:pPr>
            <w:r w:rsidRPr="003052D7">
              <w:rPr>
                <w:rFonts w:ascii="Times New Roman" w:hAnsi="Times New Roman" w:cs="Times New Roman"/>
                <w:szCs w:val="21"/>
              </w:rPr>
              <w:t>16</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碧云厅、会龙厅、武陵厅、罗霄厅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小时</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kern w:val="0"/>
                <w:szCs w:val="21"/>
              </w:rPr>
              <w:t>31</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政府指导价</w:t>
            </w:r>
          </w:p>
        </w:tc>
        <w:tc>
          <w:tcPr>
            <w:tcW w:w="2841"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c>
          <w:tcPr>
            <w:tcW w:w="1792"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17</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kern w:val="0"/>
                <w:szCs w:val="21"/>
              </w:rPr>
              <w:t>雪峰厅、梅山厅、中山厅、天山厅、浮邱厅、青山厅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小时</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25</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c>
          <w:tcPr>
            <w:tcW w:w="1792" w:type="dxa"/>
            <w:vMerge/>
            <w:vAlign w:val="center"/>
          </w:tcPr>
          <w:p w:rsidR="00AA726F" w:rsidRPr="003052D7" w:rsidRDefault="00AA726F" w:rsidP="00652EF1">
            <w:pPr>
              <w:widowControl/>
              <w:spacing w:line="300" w:lineRule="exact"/>
              <w:textAlignment w:val="center"/>
              <w:rPr>
                <w:rFonts w:ascii="Times New Roman" w:hAnsi="Times New Roman" w:cs="Times New Roman"/>
                <w:szCs w:val="21"/>
              </w:rPr>
            </w:pP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18</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羽化楼告别厅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场</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300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含电子显示屏、水晶棺材、音响放哀乐、话筒、凳椅、沙发、电香烛、电火盆、物资储存柜、办公座椅、进厅前卫生清扫、大小遗像架子、讣告用水牌架子、跪垫、厅内张贴、冻机围棺。</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每场不超过</w:t>
            </w:r>
            <w:r w:rsidRPr="003052D7">
              <w:rPr>
                <w:rFonts w:ascii="Times New Roman" w:hAnsi="Times New Roman" w:cs="Times New Roman"/>
                <w:szCs w:val="21"/>
              </w:rPr>
              <w:t>4</w:t>
            </w:r>
            <w:r w:rsidRPr="003052D7">
              <w:rPr>
                <w:rFonts w:ascii="Times New Roman" w:hAnsi="Times New Roman" w:cs="Times New Roman"/>
                <w:szCs w:val="21"/>
              </w:rPr>
              <w:t>小时，如超过</w:t>
            </w:r>
            <w:r w:rsidRPr="003052D7">
              <w:rPr>
                <w:rFonts w:ascii="Times New Roman" w:hAnsi="Times New Roman" w:cs="Times New Roman"/>
                <w:szCs w:val="21"/>
              </w:rPr>
              <w:t>4</w:t>
            </w:r>
            <w:r w:rsidRPr="003052D7">
              <w:rPr>
                <w:rFonts w:ascii="Times New Roman" w:hAnsi="Times New Roman" w:cs="Times New Roman"/>
                <w:szCs w:val="21"/>
              </w:rPr>
              <w:t>小时，超过的时间按照</w:t>
            </w:r>
            <w:r w:rsidRPr="003052D7">
              <w:rPr>
                <w:rFonts w:ascii="Times New Roman" w:hAnsi="Times New Roman" w:cs="Times New Roman"/>
                <w:szCs w:val="21"/>
              </w:rPr>
              <w:t>70</w:t>
            </w:r>
            <w:r w:rsidRPr="003052D7">
              <w:rPr>
                <w:rFonts w:ascii="Times New Roman" w:hAnsi="Times New Roman" w:cs="Times New Roman"/>
                <w:szCs w:val="21"/>
              </w:rPr>
              <w:t>元每小时计算，不足一小时的按一小时计算。</w:t>
            </w:r>
          </w:p>
        </w:tc>
      </w:tr>
      <w:tr w:rsidR="00AA726F" w:rsidRPr="003052D7" w:rsidTr="00652EF1">
        <w:trPr>
          <w:trHeight w:val="567"/>
          <w:jc w:val="center"/>
        </w:trPr>
        <w:tc>
          <w:tcPr>
            <w:tcW w:w="458"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19</w:t>
            </w:r>
          </w:p>
        </w:tc>
        <w:tc>
          <w:tcPr>
            <w:tcW w:w="1554"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陵园仪式厅</w:t>
            </w:r>
          </w:p>
        </w:tc>
        <w:tc>
          <w:tcPr>
            <w:tcW w:w="1078" w:type="dxa"/>
            <w:vAlign w:val="center"/>
          </w:tcPr>
          <w:p w:rsidR="00AA726F" w:rsidRPr="003052D7" w:rsidRDefault="00AA726F" w:rsidP="00652EF1">
            <w:pPr>
              <w:widowControl/>
              <w:spacing w:line="300" w:lineRule="exact"/>
              <w:jc w:val="center"/>
              <w:textAlignment w:val="center"/>
              <w:rPr>
                <w:rFonts w:ascii="Times New Roman" w:hAnsi="Times New Roman" w:cs="Times New Roman"/>
                <w:szCs w:val="21"/>
              </w:rPr>
            </w:pPr>
            <w:r w:rsidRPr="003052D7">
              <w:rPr>
                <w:rFonts w:ascii="Times New Roman" w:hAnsi="Times New Roman" w:cs="Times New Roman"/>
                <w:szCs w:val="21"/>
              </w:rPr>
              <w:t>元</w:t>
            </w:r>
            <w:r w:rsidRPr="003052D7">
              <w:rPr>
                <w:rFonts w:ascii="Times New Roman" w:hAnsi="Times New Roman" w:cs="Times New Roman"/>
                <w:szCs w:val="21"/>
              </w:rPr>
              <w:t>/</w:t>
            </w:r>
            <w:r w:rsidRPr="003052D7">
              <w:rPr>
                <w:rFonts w:ascii="Times New Roman" w:hAnsi="Times New Roman" w:cs="Times New Roman"/>
                <w:szCs w:val="21"/>
              </w:rPr>
              <w:t>场</w:t>
            </w:r>
          </w:p>
        </w:tc>
        <w:tc>
          <w:tcPr>
            <w:tcW w:w="846" w:type="dxa"/>
            <w:vAlign w:val="center"/>
          </w:tcPr>
          <w:p w:rsidR="00AA726F" w:rsidRPr="003052D7" w:rsidRDefault="00AA726F" w:rsidP="00652EF1">
            <w:pPr>
              <w:widowControl/>
              <w:spacing w:line="300" w:lineRule="exact"/>
              <w:jc w:val="center"/>
              <w:textAlignment w:val="center"/>
              <w:rPr>
                <w:rFonts w:ascii="Times New Roman" w:hAnsi="Times New Roman" w:cs="Times New Roman"/>
                <w:kern w:val="0"/>
                <w:szCs w:val="21"/>
              </w:rPr>
            </w:pPr>
            <w:r w:rsidRPr="003052D7">
              <w:rPr>
                <w:rFonts w:ascii="Times New Roman" w:hAnsi="Times New Roman" w:cs="Times New Roman"/>
                <w:kern w:val="0"/>
                <w:szCs w:val="21"/>
              </w:rPr>
              <w:t>300</w:t>
            </w:r>
          </w:p>
        </w:tc>
        <w:tc>
          <w:tcPr>
            <w:tcW w:w="876" w:type="dxa"/>
            <w:vAlign w:val="center"/>
          </w:tcPr>
          <w:p w:rsidR="00AA726F" w:rsidRPr="003052D7" w:rsidRDefault="00AA726F" w:rsidP="00652EF1">
            <w:pPr>
              <w:widowControl/>
              <w:spacing w:line="300" w:lineRule="exact"/>
              <w:textAlignment w:val="center"/>
              <w:rPr>
                <w:rFonts w:ascii="Times New Roman" w:hAnsi="Times New Roman" w:cs="Times New Roman"/>
                <w:kern w:val="0"/>
                <w:szCs w:val="21"/>
              </w:rPr>
            </w:pPr>
            <w:r w:rsidRPr="003052D7">
              <w:rPr>
                <w:rFonts w:ascii="Times New Roman" w:hAnsi="Times New Roman" w:cs="Times New Roman"/>
                <w:kern w:val="0"/>
                <w:szCs w:val="21"/>
              </w:rPr>
              <w:t>政府指导价</w:t>
            </w:r>
          </w:p>
        </w:tc>
        <w:tc>
          <w:tcPr>
            <w:tcW w:w="2841"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含电子显示屏、休息室、音响放哀乐、话筒、凳椅、沙发、电香烛、电火盆、物资储存柜、办公座椅、进厅前卫生清扫、大小遗像架子、讣告用水牌架子、跪垫、厅内张贴、冻机围棺。</w:t>
            </w:r>
          </w:p>
        </w:tc>
        <w:tc>
          <w:tcPr>
            <w:tcW w:w="1792" w:type="dxa"/>
            <w:vAlign w:val="center"/>
          </w:tcPr>
          <w:p w:rsidR="00AA726F" w:rsidRPr="003052D7" w:rsidRDefault="00AA726F" w:rsidP="00652EF1">
            <w:pPr>
              <w:widowControl/>
              <w:spacing w:line="300" w:lineRule="exact"/>
              <w:textAlignment w:val="center"/>
              <w:rPr>
                <w:rFonts w:ascii="Times New Roman" w:hAnsi="Times New Roman" w:cs="Times New Roman"/>
                <w:szCs w:val="21"/>
              </w:rPr>
            </w:pPr>
            <w:r w:rsidRPr="003052D7">
              <w:rPr>
                <w:rFonts w:ascii="Times New Roman" w:hAnsi="Times New Roman" w:cs="Times New Roman"/>
                <w:szCs w:val="21"/>
              </w:rPr>
              <w:t>每场不超过</w:t>
            </w:r>
            <w:r w:rsidRPr="003052D7">
              <w:rPr>
                <w:rFonts w:ascii="Times New Roman" w:hAnsi="Times New Roman" w:cs="Times New Roman"/>
                <w:szCs w:val="21"/>
              </w:rPr>
              <w:t>4</w:t>
            </w:r>
            <w:r w:rsidRPr="003052D7">
              <w:rPr>
                <w:rFonts w:ascii="Times New Roman" w:hAnsi="Times New Roman" w:cs="Times New Roman"/>
                <w:szCs w:val="21"/>
              </w:rPr>
              <w:t>小时，如超过</w:t>
            </w:r>
            <w:r w:rsidRPr="003052D7">
              <w:rPr>
                <w:rFonts w:ascii="Times New Roman" w:hAnsi="Times New Roman" w:cs="Times New Roman"/>
                <w:szCs w:val="21"/>
              </w:rPr>
              <w:t>4</w:t>
            </w:r>
            <w:r w:rsidRPr="003052D7">
              <w:rPr>
                <w:rFonts w:ascii="Times New Roman" w:hAnsi="Times New Roman" w:cs="Times New Roman"/>
                <w:szCs w:val="21"/>
              </w:rPr>
              <w:t>小时，超过的时间按照</w:t>
            </w:r>
            <w:r w:rsidRPr="003052D7">
              <w:rPr>
                <w:rFonts w:ascii="Times New Roman" w:hAnsi="Times New Roman" w:cs="Times New Roman"/>
                <w:szCs w:val="21"/>
              </w:rPr>
              <w:t>70</w:t>
            </w:r>
            <w:r w:rsidRPr="003052D7">
              <w:rPr>
                <w:rFonts w:ascii="Times New Roman" w:hAnsi="Times New Roman" w:cs="Times New Roman"/>
                <w:szCs w:val="21"/>
              </w:rPr>
              <w:t>元每小时计算，不足一小时的按一小时计算。</w:t>
            </w:r>
          </w:p>
        </w:tc>
      </w:tr>
    </w:tbl>
    <w:p w:rsidR="00BA149D" w:rsidRPr="00261229" w:rsidRDefault="00BA149D" w:rsidP="00160121">
      <w:pPr>
        <w:spacing w:line="600" w:lineRule="exact"/>
        <w:jc w:val="center"/>
        <w:rPr>
          <w:rFonts w:ascii="Times New Roman" w:eastAsia="宋体" w:hAnsi="宋体" w:cs="Times New Roman"/>
          <w:bCs/>
          <w:color w:val="000000" w:themeColor="text1"/>
          <w:szCs w:val="21"/>
          <w:lang w:bidi="zh-TW"/>
        </w:rPr>
      </w:pPr>
    </w:p>
    <w:sectPr w:rsidR="00BA149D" w:rsidRPr="00261229" w:rsidSect="00160121">
      <w:footerReference w:type="even" r:id="rId8"/>
      <w:footerReference w:type="default" r:id="rId9"/>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1E4" w:rsidRDefault="000E31E4" w:rsidP="00FE50B1">
      <w:r>
        <w:separator/>
      </w:r>
    </w:p>
  </w:endnote>
  <w:endnote w:type="continuationSeparator" w:id="1">
    <w:p w:rsidR="000E31E4" w:rsidRDefault="000E31E4"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642C6A"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642C6A" w:rsidRPr="006823B8">
      <w:rPr>
        <w:rFonts w:ascii="宋体" w:eastAsia="宋体" w:hAnsi="宋体"/>
        <w:sz w:val="24"/>
        <w:szCs w:val="24"/>
      </w:rPr>
      <w:fldChar w:fldCharType="separate"/>
    </w:r>
    <w:r w:rsidR="00160121" w:rsidRPr="00160121">
      <w:rPr>
        <w:rFonts w:ascii="宋体" w:eastAsia="宋体" w:hAnsi="宋体"/>
        <w:noProof/>
        <w:sz w:val="24"/>
        <w:szCs w:val="24"/>
        <w:lang w:val="zh-CN"/>
      </w:rPr>
      <w:t>4</w:t>
    </w:r>
    <w:r w:rsidR="00642C6A"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642C6A"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160121" w:rsidRPr="00160121">
      <w:rPr>
        <w:rFonts w:ascii="宋体" w:eastAsia="宋体" w:hAnsi="宋体"/>
        <w:noProof/>
        <w:sz w:val="24"/>
        <w:szCs w:val="24"/>
        <w:lang w:val="zh-CN"/>
      </w:rPr>
      <w:t>3</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1E4" w:rsidRDefault="000E31E4" w:rsidP="00FE50B1">
      <w:r>
        <w:separator/>
      </w:r>
    </w:p>
  </w:footnote>
  <w:footnote w:type="continuationSeparator" w:id="1">
    <w:p w:rsidR="000E31E4" w:rsidRDefault="000E31E4"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9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31E4"/>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0121"/>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6D92"/>
    <w:rsid w:val="004001BA"/>
    <w:rsid w:val="0040056A"/>
    <w:rsid w:val="00407F68"/>
    <w:rsid w:val="004101A8"/>
    <w:rsid w:val="00420A3E"/>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649E"/>
    <w:rsid w:val="00C62028"/>
    <w:rsid w:val="00C6271D"/>
    <w:rsid w:val="00C63A40"/>
    <w:rsid w:val="00C6614F"/>
    <w:rsid w:val="00C7048A"/>
    <w:rsid w:val="00C711B4"/>
    <w:rsid w:val="00C713B4"/>
    <w:rsid w:val="00C76ADE"/>
    <w:rsid w:val="00C77655"/>
    <w:rsid w:val="00C84B51"/>
    <w:rsid w:val="00C9401D"/>
    <w:rsid w:val="00CA3A96"/>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739FD"/>
    <w:rsid w:val="00F7458B"/>
    <w:rsid w:val="00F849CC"/>
    <w:rsid w:val="00F86A17"/>
    <w:rsid w:val="00F8754A"/>
    <w:rsid w:val="00F9005F"/>
    <w:rsid w:val="00F95351"/>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365</Words>
  <Characters>2083</Characters>
  <Application>Microsoft Office Word</Application>
  <DocSecurity>0</DocSecurity>
  <Lines>17</Lines>
  <Paragraphs>4</Paragraphs>
  <ScaleCrop>false</ScaleCrop>
  <Company>Micorosoft</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cp:lastPrinted>2025-12-11T09:39:00Z</cp:lastPrinted>
  <dcterms:created xsi:type="dcterms:W3CDTF">2025-12-23T03:43:00Z</dcterms:created>
  <dcterms:modified xsi:type="dcterms:W3CDTF">2025-12-23T03:43:00Z</dcterms:modified>
</cp:coreProperties>
</file>