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sz w:val="44"/>
          <w:szCs w:val="44"/>
        </w:rPr>
      </w:pPr>
    </w:p>
    <w:p>
      <w:pPr>
        <w:widowControl/>
        <w:jc w:val="left"/>
        <w:rPr>
          <w:rFonts w:ascii="黑体" w:hAnsi="黑体" w:eastAsia="黑体" w:cs="宋体"/>
          <w:kern w:val="0"/>
          <w:sz w:val="36"/>
          <w:szCs w:val="36"/>
        </w:rPr>
      </w:pPr>
      <w:r>
        <w:rPr>
          <w:rFonts w:ascii="黑体" w:hAnsi="黑体" w:eastAsia="黑体" w:cs="宋体"/>
          <w:kern w:val="0"/>
          <w:sz w:val="36"/>
          <w:szCs w:val="36"/>
        </w:rPr>
        <w:t>YYCR-2018-02005</w:t>
      </w: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spacing w:line="400" w:lineRule="exact"/>
        <w:jc w:val="left"/>
        <w:rPr>
          <w:rFonts w:ascii="黑体" w:hAnsi="黑体" w:eastAsia="黑体" w:cs="宋体"/>
          <w:kern w:val="0"/>
          <w:sz w:val="44"/>
          <w:szCs w:val="44"/>
        </w:rPr>
      </w:pPr>
    </w:p>
    <w:p>
      <w:pPr>
        <w:spacing w:line="580" w:lineRule="exact"/>
        <w:rPr>
          <w:rFonts w:ascii="仿宋_GB2312" w:eastAsia="仿宋_GB2312"/>
          <w:sz w:val="32"/>
          <w:szCs w:val="32"/>
        </w:rPr>
      </w:pPr>
    </w:p>
    <w:p>
      <w:pPr>
        <w:widowControl/>
        <w:shd w:val="clear" w:color="auto" w:fill="FFFFFF"/>
        <w:spacing w:line="432"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益发改法规〔</w:t>
      </w:r>
      <w:r>
        <w:rPr>
          <w:rFonts w:ascii="仿宋" w:hAnsi="仿宋" w:eastAsia="仿宋" w:cs="仿宋"/>
          <w:color w:val="000000"/>
          <w:kern w:val="0"/>
          <w:sz w:val="32"/>
          <w:szCs w:val="32"/>
        </w:rPr>
        <w:t>2018</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232</w:t>
      </w:r>
      <w:r>
        <w:rPr>
          <w:rFonts w:hint="eastAsia" w:ascii="仿宋" w:hAnsi="仿宋" w:eastAsia="仿宋" w:cs="仿宋"/>
          <w:color w:val="000000"/>
          <w:kern w:val="0"/>
          <w:sz w:val="32"/>
          <w:szCs w:val="32"/>
        </w:rPr>
        <w:t>号</w:t>
      </w:r>
    </w:p>
    <w:p>
      <w:pPr>
        <w:widowControl/>
        <w:shd w:val="clear" w:color="auto" w:fill="FFFFFF"/>
        <w:spacing w:line="432" w:lineRule="auto"/>
        <w:jc w:val="right"/>
        <w:rPr>
          <w:rFonts w:ascii="小标宋" w:hAnsi="宋体" w:eastAsia="小标宋" w:cs="宋体"/>
          <w:color w:val="000000"/>
          <w:kern w:val="0"/>
          <w:sz w:val="32"/>
          <w:szCs w:val="32"/>
        </w:rPr>
      </w:pPr>
    </w:p>
    <w:p>
      <w:pPr>
        <w:widowControl/>
        <w:shd w:val="clear" w:color="auto" w:fill="FFFFFF"/>
        <w:spacing w:line="432" w:lineRule="auto"/>
        <w:jc w:val="right"/>
        <w:rPr>
          <w:rFonts w:ascii="小标宋" w:hAnsi="宋体" w:eastAsia="小标宋" w:cs="宋体"/>
          <w:color w:val="000000"/>
          <w:kern w:val="0"/>
          <w:sz w:val="32"/>
          <w:szCs w:val="32"/>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益阳市发展和改革委员会</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关于公布规范性文件清理结果的公告</w:t>
      </w:r>
    </w:p>
    <w:p>
      <w:pPr>
        <w:rPr>
          <w:b/>
          <w:sz w:val="32"/>
          <w:szCs w:val="32"/>
        </w:rPr>
      </w:pPr>
    </w:p>
    <w:p>
      <w:pPr>
        <w:spacing w:line="560" w:lineRule="exact"/>
        <w:rPr>
          <w:rFonts w:ascii="仿宋" w:hAnsi="仿宋" w:eastAsia="仿宋" w:cs="仿宋"/>
          <w:sz w:val="32"/>
          <w:szCs w:val="32"/>
        </w:rPr>
      </w:pPr>
    </w:p>
    <w:p>
      <w:pPr>
        <w:widowControl/>
        <w:spacing w:line="540" w:lineRule="exact"/>
        <w:ind w:firstLine="640"/>
        <w:jc w:val="left"/>
        <w:rPr>
          <w:rFonts w:ascii="仿宋" w:hAnsi="仿宋" w:eastAsia="仿宋" w:cs="仿宋"/>
          <w:sz w:val="32"/>
          <w:szCs w:val="32"/>
        </w:rPr>
      </w:pPr>
      <w:r>
        <w:rPr>
          <w:rFonts w:hint="eastAsia" w:ascii="仿宋" w:hAnsi="仿宋" w:eastAsia="仿宋" w:cs="仿宋"/>
          <w:sz w:val="32"/>
          <w:szCs w:val="32"/>
        </w:rPr>
        <w:t>根据《湖南省行政程序规定》和《益阳市人民政府办公室关于做好规范性文件清理工作的通知》（益政办电</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2017</w:t>
      </w:r>
      <w:r>
        <w:rPr>
          <w:rFonts w:hint="eastAsia" w:ascii="仿宋" w:hAnsi="仿宋" w:eastAsia="仿宋" w:cs="仿宋"/>
          <w:color w:val="000000"/>
          <w:kern w:val="0"/>
          <w:sz w:val="32"/>
          <w:szCs w:val="32"/>
        </w:rPr>
        <w:t>〕</w:t>
      </w:r>
      <w:r>
        <w:rPr>
          <w:rFonts w:ascii="仿宋" w:hAnsi="仿宋" w:eastAsia="仿宋" w:cs="仿宋"/>
          <w:sz w:val="32"/>
          <w:szCs w:val="32"/>
        </w:rPr>
        <w:t>23</w:t>
      </w:r>
      <w:r>
        <w:rPr>
          <w:rFonts w:hint="eastAsia" w:ascii="仿宋" w:hAnsi="仿宋" w:eastAsia="仿宋" w:cs="仿宋"/>
          <w:sz w:val="32"/>
          <w:szCs w:val="32"/>
        </w:rPr>
        <w:t>号）文件要求，我委对截至</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日止的规范性文件（含原市发改委和原市物价局印发的规范性文件）进行了全面清理。现将有关清理结果公布如下：</w:t>
      </w:r>
    </w:p>
    <w:p>
      <w:pPr>
        <w:widowControl/>
        <w:numPr>
          <w:ilvl w:val="0"/>
          <w:numId w:val="1"/>
        </w:numPr>
        <w:spacing w:line="540" w:lineRule="exact"/>
        <w:ind w:firstLine="640"/>
        <w:jc w:val="left"/>
        <w:rPr>
          <w:rFonts w:ascii="仿宋" w:hAnsi="仿宋" w:eastAsia="仿宋" w:cs="仿宋"/>
          <w:sz w:val="32"/>
          <w:szCs w:val="32"/>
        </w:rPr>
      </w:pPr>
      <w:r>
        <w:rPr>
          <w:rFonts w:hint="eastAsia" w:ascii="仿宋" w:hAnsi="仿宋" w:eastAsia="仿宋" w:cs="仿宋"/>
          <w:sz w:val="32"/>
          <w:szCs w:val="32"/>
        </w:rPr>
        <w:t>废止《益阳市物价局关于重新明确我市农村用电价格的通知》等</w:t>
      </w:r>
      <w:r>
        <w:rPr>
          <w:rFonts w:ascii="仿宋" w:hAnsi="仿宋" w:eastAsia="仿宋" w:cs="仿宋"/>
          <w:sz w:val="32"/>
          <w:szCs w:val="32"/>
        </w:rPr>
        <w:t>19</w:t>
      </w:r>
      <w:r>
        <w:rPr>
          <w:rFonts w:hint="eastAsia" w:ascii="仿宋" w:hAnsi="仿宋" w:eastAsia="仿宋" w:cs="仿宋"/>
          <w:sz w:val="32"/>
          <w:szCs w:val="32"/>
        </w:rPr>
        <w:t>件规范性文件（见附件</w:t>
      </w:r>
      <w:r>
        <w:rPr>
          <w:rFonts w:ascii="仿宋" w:hAnsi="仿宋" w:eastAsia="仿宋" w:cs="仿宋"/>
          <w:sz w:val="32"/>
          <w:szCs w:val="32"/>
        </w:rPr>
        <w:t>1</w:t>
      </w:r>
      <w:r>
        <w:rPr>
          <w:rFonts w:hint="eastAsia" w:ascii="仿宋" w:hAnsi="仿宋" w:eastAsia="仿宋" w:cs="仿宋"/>
          <w:sz w:val="32"/>
          <w:szCs w:val="32"/>
        </w:rPr>
        <w:t>）。</w:t>
      </w:r>
    </w:p>
    <w:p>
      <w:pPr>
        <w:widowControl/>
        <w:numPr>
          <w:ilvl w:val="0"/>
          <w:numId w:val="1"/>
        </w:numPr>
        <w:spacing w:line="540" w:lineRule="exact"/>
        <w:ind w:firstLine="640"/>
        <w:jc w:val="left"/>
        <w:rPr>
          <w:rFonts w:ascii="仿宋" w:hAnsi="仿宋" w:eastAsia="仿宋" w:cs="仿宋"/>
          <w:sz w:val="32"/>
          <w:szCs w:val="32"/>
        </w:rPr>
      </w:pPr>
      <w:r>
        <w:rPr>
          <w:rFonts w:hint="eastAsia" w:ascii="仿宋" w:hAnsi="仿宋" w:eastAsia="仿宋" w:cs="仿宋"/>
          <w:sz w:val="32"/>
          <w:szCs w:val="32"/>
        </w:rPr>
        <w:t>宣布《益阳市物价局关于桃江县第七中与湖南长郡远程合作学校收费问题的批复》等</w:t>
      </w:r>
      <w:r>
        <w:rPr>
          <w:rFonts w:ascii="仿宋" w:hAnsi="仿宋" w:eastAsia="仿宋" w:cs="仿宋"/>
          <w:sz w:val="32"/>
          <w:szCs w:val="32"/>
        </w:rPr>
        <w:t>36</w:t>
      </w:r>
      <w:r>
        <w:rPr>
          <w:rFonts w:hint="eastAsia" w:ascii="仿宋" w:hAnsi="仿宋" w:eastAsia="仿宋" w:cs="仿宋"/>
          <w:sz w:val="32"/>
          <w:szCs w:val="32"/>
        </w:rPr>
        <w:t>件规范性文件失效（见附件</w:t>
      </w:r>
      <w:r>
        <w:rPr>
          <w:rFonts w:ascii="仿宋" w:hAnsi="仿宋" w:eastAsia="仿宋" w:cs="仿宋"/>
          <w:sz w:val="32"/>
          <w:szCs w:val="32"/>
        </w:rPr>
        <w:t>2</w:t>
      </w:r>
      <w:r>
        <w:rPr>
          <w:rFonts w:hint="eastAsia" w:ascii="仿宋" w:hAnsi="仿宋" w:eastAsia="仿宋" w:cs="仿宋"/>
          <w:sz w:val="32"/>
          <w:szCs w:val="32"/>
        </w:rPr>
        <w:t>）。</w:t>
      </w:r>
    </w:p>
    <w:p>
      <w:pPr>
        <w:widowControl/>
        <w:spacing w:line="540" w:lineRule="exact"/>
        <w:ind w:firstLine="640"/>
        <w:jc w:val="left"/>
        <w:rPr>
          <w:rFonts w:ascii="仿宋" w:hAnsi="仿宋" w:eastAsia="仿宋" w:cs="仿宋"/>
          <w:sz w:val="32"/>
          <w:szCs w:val="32"/>
        </w:rPr>
      </w:pPr>
      <w:r>
        <w:rPr>
          <w:rFonts w:hint="eastAsia" w:ascii="仿宋" w:hAnsi="仿宋" w:eastAsia="仿宋" w:cs="仿宋"/>
          <w:sz w:val="32"/>
          <w:szCs w:val="32"/>
        </w:rPr>
        <w:t>三、确认《关于核定千山红镇种福自来水厂供水价格的批复》等</w:t>
      </w:r>
      <w:r>
        <w:rPr>
          <w:rFonts w:ascii="仿宋" w:hAnsi="仿宋" w:eastAsia="仿宋" w:cs="仿宋"/>
          <w:sz w:val="32"/>
          <w:szCs w:val="32"/>
        </w:rPr>
        <w:t>4</w:t>
      </w:r>
      <w:r>
        <w:rPr>
          <w:rFonts w:hint="eastAsia" w:ascii="仿宋" w:hAnsi="仿宋" w:eastAsia="仿宋" w:cs="仿宋"/>
          <w:sz w:val="32"/>
          <w:szCs w:val="32"/>
        </w:rPr>
        <w:t>件规范性文件继续有效（见附件</w:t>
      </w:r>
      <w:r>
        <w:rPr>
          <w:rFonts w:ascii="仿宋" w:hAnsi="仿宋" w:eastAsia="仿宋" w:cs="仿宋"/>
          <w:sz w:val="32"/>
          <w:szCs w:val="32"/>
        </w:rPr>
        <w:t>3</w:t>
      </w:r>
      <w:r>
        <w:rPr>
          <w:rFonts w:hint="eastAsia" w:ascii="仿宋" w:hAnsi="仿宋" w:eastAsia="仿宋" w:cs="仿宋"/>
          <w:sz w:val="32"/>
          <w:szCs w:val="32"/>
        </w:rPr>
        <w:t>）。</w:t>
      </w:r>
    </w:p>
    <w:p>
      <w:pPr>
        <w:widowControl/>
        <w:spacing w:line="540" w:lineRule="exact"/>
        <w:ind w:firstLine="640"/>
        <w:jc w:val="left"/>
        <w:rPr>
          <w:rFonts w:ascii="仿宋" w:hAnsi="仿宋" w:eastAsia="仿宋" w:cs="仿宋"/>
          <w:sz w:val="32"/>
          <w:szCs w:val="32"/>
        </w:rPr>
      </w:pPr>
      <w:r>
        <w:rPr>
          <w:rFonts w:hint="eastAsia" w:ascii="仿宋" w:hAnsi="仿宋" w:eastAsia="仿宋" w:cs="仿宋"/>
          <w:sz w:val="32"/>
          <w:szCs w:val="32"/>
        </w:rPr>
        <w:t>四、重新公布《益阳市发改委关于公布规范性文件清理结果的公告》等</w:t>
      </w:r>
      <w:r>
        <w:rPr>
          <w:rFonts w:ascii="仿宋" w:hAnsi="仿宋" w:eastAsia="仿宋" w:cs="仿宋"/>
          <w:sz w:val="32"/>
          <w:szCs w:val="32"/>
        </w:rPr>
        <w:t>3</w:t>
      </w:r>
      <w:r>
        <w:rPr>
          <w:rFonts w:hint="eastAsia" w:ascii="仿宋" w:hAnsi="仿宋" w:eastAsia="仿宋" w:cs="仿宋"/>
          <w:sz w:val="32"/>
          <w:szCs w:val="32"/>
        </w:rPr>
        <w:t>件规范性文件（见附件</w:t>
      </w:r>
      <w:r>
        <w:rPr>
          <w:rFonts w:ascii="仿宋" w:hAnsi="仿宋" w:eastAsia="仿宋" w:cs="仿宋"/>
          <w:sz w:val="32"/>
          <w:szCs w:val="32"/>
        </w:rPr>
        <w:t>4</w:t>
      </w:r>
      <w:r>
        <w:rPr>
          <w:rFonts w:hint="eastAsia" w:ascii="仿宋" w:hAnsi="仿宋" w:eastAsia="仿宋" w:cs="仿宋"/>
          <w:sz w:val="32"/>
          <w:szCs w:val="32"/>
        </w:rPr>
        <w:t>）。</w:t>
      </w:r>
    </w:p>
    <w:p>
      <w:pPr>
        <w:widowControl/>
        <w:spacing w:line="540" w:lineRule="exact"/>
        <w:ind w:firstLine="640"/>
        <w:jc w:val="left"/>
        <w:rPr>
          <w:rFonts w:ascii="仿宋" w:hAnsi="仿宋" w:eastAsia="仿宋" w:cs="仿宋"/>
          <w:sz w:val="32"/>
          <w:szCs w:val="32"/>
        </w:rPr>
      </w:pPr>
      <w:r>
        <w:rPr>
          <w:rFonts w:hint="eastAsia" w:ascii="仿宋" w:hAnsi="仿宋" w:eastAsia="仿宋" w:cs="仿宋"/>
          <w:sz w:val="32"/>
          <w:szCs w:val="32"/>
        </w:rPr>
        <w:t>我委</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日前制定的规定性文件，未列入上述继续有效的规范性文件目录的，不再执行。确需继续执行的，将依照法定程序重新制定规范性文件。</w:t>
      </w:r>
    </w:p>
    <w:p>
      <w:pPr>
        <w:widowControl/>
        <w:spacing w:line="540" w:lineRule="exact"/>
        <w:ind w:firstLine="640"/>
        <w:jc w:val="left"/>
        <w:rPr>
          <w:rFonts w:ascii="仿宋" w:hAnsi="仿宋" w:eastAsia="仿宋" w:cs="仿宋"/>
          <w:sz w:val="32"/>
          <w:szCs w:val="32"/>
        </w:rPr>
      </w:pPr>
      <w:r>
        <w:rPr>
          <w:rFonts w:hint="eastAsia" w:ascii="仿宋" w:hAnsi="仿宋" w:eastAsia="仿宋" w:cs="仿宋"/>
          <w:sz w:val="32"/>
          <w:szCs w:val="32"/>
        </w:rPr>
        <w:t>上述废止、宣布失效的规范性文件，自本通知发布之日起不再执行；确认继续有效的规范性文件，有效期与本通知发布前连续计算；重新公布的规范性文件，自本通知发布之日起重新计算有效期；规范性文件规定了有效期的，按其规定的有效期执行。</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、决定废止的规范性文目录</w:t>
      </w:r>
    </w:p>
    <w:p>
      <w:pPr>
        <w:spacing w:line="560" w:lineRule="exac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、宣布失效的规范性文件目录</w:t>
      </w:r>
    </w:p>
    <w:p>
      <w:pPr>
        <w:spacing w:line="560" w:lineRule="exac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、确认继续有效的规范性文目录</w:t>
      </w:r>
    </w:p>
    <w:p>
      <w:pPr>
        <w:spacing w:line="560" w:lineRule="exact"/>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、重新公布的规范性文目录</w:t>
      </w:r>
    </w:p>
    <w:p>
      <w:pPr>
        <w:ind w:firstLine="3520" w:firstLineChars="1100"/>
        <w:rPr>
          <w:rFonts w:ascii="仿宋" w:hAnsi="仿宋" w:eastAsia="仿宋" w:cs="仿宋"/>
          <w:sz w:val="32"/>
          <w:szCs w:val="32"/>
        </w:rPr>
      </w:pPr>
    </w:p>
    <w:p>
      <w:pPr>
        <w:ind w:firstLine="3520" w:firstLineChars="1100"/>
        <w:rPr>
          <w:rFonts w:ascii="仿宋" w:hAnsi="仿宋" w:eastAsia="仿宋" w:cs="仿宋"/>
          <w:sz w:val="32"/>
          <w:szCs w:val="32"/>
        </w:rPr>
      </w:pPr>
    </w:p>
    <w:p>
      <w:pPr>
        <w:spacing w:line="520" w:lineRule="exact"/>
        <w:ind w:firstLine="4160" w:firstLineChars="1300"/>
        <w:rPr>
          <w:rFonts w:ascii="仿宋" w:hAnsi="仿宋" w:eastAsia="仿宋" w:cs="仿宋"/>
          <w:sz w:val="32"/>
          <w:szCs w:val="32"/>
        </w:rPr>
      </w:pPr>
      <w:r>
        <w:rPr>
          <w:rFonts w:hint="eastAsia" w:ascii="仿宋" w:hAnsi="仿宋" w:eastAsia="仿宋" w:cs="仿宋"/>
          <w:sz w:val="32"/>
          <w:szCs w:val="32"/>
        </w:rPr>
        <w:t>益阳市发展和改革委员会</w:t>
      </w:r>
    </w:p>
    <w:p>
      <w:pPr>
        <w:spacing w:line="520" w:lineRule="exact"/>
        <w:ind w:firstLine="3680" w:firstLineChars="1150"/>
        <w:rPr>
          <w:rFonts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21</w:t>
      </w:r>
      <w:r>
        <w:rPr>
          <w:rFonts w:hint="eastAsia" w:ascii="仿宋" w:hAnsi="仿宋" w:eastAsia="仿宋" w:cs="仿宋"/>
          <w:sz w:val="32"/>
          <w:szCs w:val="32"/>
        </w:rPr>
        <w:t>日</w:t>
      </w:r>
    </w:p>
    <w:p>
      <w:pPr>
        <w:spacing w:line="560" w:lineRule="exact"/>
      </w:pPr>
    </w:p>
    <w:p>
      <w:pPr>
        <w:spacing w:line="560" w:lineRule="exact"/>
      </w:pPr>
    </w:p>
    <w:p>
      <w:pPr>
        <w:spacing w:line="560" w:lineRule="exact"/>
        <w:rPr>
          <w:rFonts w:ascii="仿宋" w:hAnsi="仿宋" w:eastAsia="仿宋"/>
          <w:sz w:val="28"/>
          <w:szCs w:val="28"/>
        </w:rPr>
      </w:pPr>
      <w:r>
        <w:pict>
          <v:shape id="_x0000_s1026" o:spid="_x0000_s1026" o:spt="32" type="#_x0000_t32" style="position:absolute;left:0pt;margin-left:5.35pt;margin-top:32.7pt;height:0pt;width:445.75pt;z-index:251658240;mso-width-relative:page;mso-height-relative:page;" filled="f" coordsize="21600,21600">
            <v:path arrowok="t"/>
            <v:fill on="f" focussize="0,0"/>
            <v:stroke/>
            <v:imagedata o:title=""/>
            <o:lock v:ext="edit"/>
          </v:shape>
        </w:pict>
      </w:r>
      <w:r>
        <w:pict>
          <v:shape id="_x0000_s1027" o:spid="_x0000_s1027" o:spt="32" type="#_x0000_t32" style="position:absolute;left:0pt;margin-left:5.35pt;margin-top:0.6pt;height:0pt;width:445.75pt;z-index:251659264;mso-width-relative:page;mso-height-relative:page;" filled="f" coordsize="21600,21600">
            <v:path arrowok="t"/>
            <v:fill on="f" focussize="0,0"/>
            <v:stroke/>
            <v:imagedata o:title=""/>
            <o:lock v:ext="edit"/>
          </v:shape>
        </w:pict>
      </w:r>
      <w:r>
        <w:rPr>
          <w:rFonts w:ascii="仿宋" w:hAnsi="仿宋" w:eastAsia="仿宋"/>
          <w:sz w:val="28"/>
          <w:szCs w:val="28"/>
        </w:rPr>
        <w:t xml:space="preserve">  </w:t>
      </w:r>
      <w:r>
        <w:rPr>
          <w:rFonts w:hint="eastAsia" w:ascii="仿宋" w:hAnsi="仿宋" w:eastAsia="仿宋"/>
          <w:sz w:val="28"/>
          <w:szCs w:val="28"/>
        </w:rPr>
        <w:t>益阳市发展和改革委员会办公室</w:t>
      </w:r>
      <w:r>
        <w:rPr>
          <w:rFonts w:ascii="仿宋" w:hAnsi="仿宋" w:eastAsia="仿宋"/>
          <w:sz w:val="28"/>
          <w:szCs w:val="28"/>
        </w:rPr>
        <w:t xml:space="preserve">            2018</w:t>
      </w:r>
      <w:r>
        <w:rPr>
          <w:rFonts w:hint="eastAsia" w:ascii="仿宋" w:hAnsi="仿宋" w:eastAsia="仿宋"/>
          <w:sz w:val="28"/>
          <w:szCs w:val="28"/>
        </w:rPr>
        <w:t>年</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21</w:t>
      </w:r>
      <w:r>
        <w:rPr>
          <w:rFonts w:hint="eastAsia" w:ascii="仿宋" w:hAnsi="仿宋" w:eastAsia="仿宋"/>
          <w:sz w:val="28"/>
          <w:szCs w:val="28"/>
        </w:rPr>
        <w:t>日印发</w:t>
      </w:r>
      <w:r>
        <w:rPr>
          <w:rFonts w:ascii="仿宋" w:hAnsi="仿宋" w:eastAsia="仿宋"/>
          <w:sz w:val="28"/>
          <w:szCs w:val="28"/>
        </w:rPr>
        <w:t xml:space="preserve"> </w:t>
      </w:r>
    </w:p>
    <w:p>
      <w:pPr>
        <w:spacing w:line="560" w:lineRule="exact"/>
        <w:rPr>
          <w:rFonts w:ascii="仿宋" w:hAnsi="仿宋" w:eastAsia="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587" w:right="1247" w:bottom="1361" w:left="1474" w:header="851" w:footer="992" w:gutter="0"/>
          <w:cols w:space="0" w:num="1"/>
          <w:docGrid w:type="lines" w:linePitch="312" w:charSpace="0"/>
        </w:sectPr>
      </w:pPr>
    </w:p>
    <w:tbl>
      <w:tblPr>
        <w:tblStyle w:val="6"/>
        <w:tblW w:w="14140" w:type="dxa"/>
        <w:tblInd w:w="0" w:type="dxa"/>
        <w:tblLayout w:type="fixed"/>
        <w:tblCellMar>
          <w:top w:w="15" w:type="dxa"/>
          <w:left w:w="15" w:type="dxa"/>
          <w:bottom w:w="15" w:type="dxa"/>
          <w:right w:w="15" w:type="dxa"/>
        </w:tblCellMar>
      </w:tblPr>
      <w:tblGrid>
        <w:gridCol w:w="1069"/>
        <w:gridCol w:w="79"/>
        <w:gridCol w:w="8510"/>
        <w:gridCol w:w="778"/>
        <w:gridCol w:w="3450"/>
        <w:gridCol w:w="254"/>
      </w:tblGrid>
      <w:tr>
        <w:tblPrEx>
          <w:tblLayout w:type="fixed"/>
          <w:tblCellMar>
            <w:top w:w="15" w:type="dxa"/>
            <w:left w:w="15" w:type="dxa"/>
            <w:bottom w:w="15" w:type="dxa"/>
            <w:right w:w="15" w:type="dxa"/>
          </w:tblCellMar>
        </w:tblPrEx>
        <w:trPr>
          <w:trHeight w:val="193" w:hRule="atLeast"/>
        </w:trPr>
        <w:tc>
          <w:tcPr>
            <w:tcW w:w="1148" w:type="dxa"/>
            <w:gridSpan w:val="2"/>
            <w:vAlign w:val="center"/>
          </w:tcPr>
          <w:p>
            <w:pPr>
              <w:widowControl/>
              <w:jc w:val="left"/>
              <w:textAlignment w:val="center"/>
              <w:rPr>
                <w:rFonts w:ascii="宋体" w:cs="宋体"/>
                <w:color w:val="000000"/>
                <w:sz w:val="22"/>
              </w:rPr>
            </w:pPr>
            <w:r>
              <w:rPr>
                <w:rFonts w:hint="eastAsia" w:ascii="宋体" w:hAnsi="宋体" w:cs="宋体"/>
                <w:color w:val="000000"/>
                <w:kern w:val="0"/>
                <w:sz w:val="22"/>
              </w:rPr>
              <w:t>附件</w:t>
            </w:r>
            <w:r>
              <w:rPr>
                <w:rFonts w:ascii="宋体" w:hAnsi="宋体" w:cs="宋体"/>
                <w:color w:val="000000"/>
                <w:kern w:val="0"/>
                <w:sz w:val="22"/>
              </w:rPr>
              <w:t>1</w:t>
            </w:r>
            <w:r>
              <w:rPr>
                <w:rFonts w:hint="eastAsia" w:ascii="宋体" w:hAnsi="宋体" w:cs="宋体"/>
                <w:color w:val="000000"/>
                <w:kern w:val="0"/>
                <w:sz w:val="22"/>
              </w:rPr>
              <w:t>：</w:t>
            </w:r>
          </w:p>
        </w:tc>
        <w:tc>
          <w:tcPr>
            <w:tcW w:w="8510" w:type="dxa"/>
            <w:vAlign w:val="center"/>
          </w:tcPr>
          <w:p>
            <w:pPr>
              <w:rPr>
                <w:rFonts w:ascii="宋体" w:cs="宋体"/>
                <w:color w:val="000000"/>
                <w:sz w:val="22"/>
              </w:rPr>
            </w:pPr>
          </w:p>
        </w:tc>
        <w:tc>
          <w:tcPr>
            <w:tcW w:w="4482" w:type="dxa"/>
            <w:gridSpan w:val="3"/>
            <w:vAlign w:val="center"/>
          </w:tcPr>
          <w:p>
            <w:pPr>
              <w:rPr>
                <w:rFonts w:ascii="宋体" w:cs="宋体"/>
                <w:color w:val="000000"/>
                <w:sz w:val="22"/>
              </w:rPr>
            </w:pPr>
          </w:p>
        </w:tc>
      </w:tr>
      <w:tr>
        <w:tblPrEx>
          <w:tblLayout w:type="fixed"/>
          <w:tblCellMar>
            <w:top w:w="15" w:type="dxa"/>
            <w:left w:w="15" w:type="dxa"/>
            <w:bottom w:w="15" w:type="dxa"/>
            <w:right w:w="15" w:type="dxa"/>
          </w:tblCellMar>
        </w:tblPrEx>
        <w:trPr>
          <w:trHeight w:val="406" w:hRule="atLeast"/>
        </w:trPr>
        <w:tc>
          <w:tcPr>
            <w:tcW w:w="14140" w:type="dxa"/>
            <w:gridSpan w:val="6"/>
            <w:vAlign w:val="center"/>
          </w:tcPr>
          <w:p>
            <w:pPr>
              <w:widowControl/>
              <w:spacing w:line="400" w:lineRule="exact"/>
              <w:jc w:val="center"/>
              <w:textAlignment w:val="center"/>
              <w:rPr>
                <w:rFonts w:ascii="方正小标宋简体" w:hAnsi="方正小标宋简体" w:eastAsia="方正小标宋简体" w:cs="方正小标宋简体"/>
                <w:color w:val="000000"/>
                <w:sz w:val="50"/>
                <w:szCs w:val="52"/>
              </w:rPr>
            </w:pPr>
            <w:r>
              <w:rPr>
                <w:rStyle w:val="7"/>
                <w:rFonts w:hint="eastAsia"/>
                <w:sz w:val="50"/>
              </w:rPr>
              <w:t>决定废止的规范性文件目录</w:t>
            </w:r>
          </w:p>
        </w:tc>
      </w:tr>
      <w:tr>
        <w:tblPrEx>
          <w:tblLayout w:type="fixed"/>
          <w:tblCellMar>
            <w:top w:w="15" w:type="dxa"/>
            <w:left w:w="15" w:type="dxa"/>
            <w:bottom w:w="15" w:type="dxa"/>
            <w:right w:w="15" w:type="dxa"/>
          </w:tblCellMar>
        </w:tblPrEx>
        <w:trPr>
          <w:trHeight w:val="264" w:hRule="atLeast"/>
        </w:trPr>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序号</w:t>
            </w:r>
          </w:p>
        </w:tc>
        <w:tc>
          <w:tcPr>
            <w:tcW w:w="8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文件标题</w:t>
            </w:r>
          </w:p>
        </w:tc>
        <w:tc>
          <w:tcPr>
            <w:tcW w:w="44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益阳市物价局关于重新明确我市农村用电价格的通知</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171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益阳市企业投资项目核准和备案实施办法</w:t>
            </w:r>
            <w:r>
              <w:rPr>
                <w:rFonts w:ascii="宋体" w:hAnsi="宋体" w:cs="宋体"/>
                <w:color w:val="000000"/>
                <w:kern w:val="0"/>
                <w:sz w:val="22"/>
              </w:rPr>
              <w:t xml:space="preserve"> </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益发改法规〔</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469</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益阳市物价局关于收取机动车检测技术服务的批复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28</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益阳市物价局关于调整居民生活用天然气价格的通知</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益价价〔</w:t>
            </w:r>
            <w:r>
              <w:rPr>
                <w:rFonts w:ascii="宋体" w:hAnsi="宋体" w:cs="宋体"/>
                <w:color w:val="000000"/>
                <w:kern w:val="0"/>
                <w:sz w:val="22"/>
              </w:rPr>
              <w:t>2010</w:t>
            </w:r>
            <w:r>
              <w:rPr>
                <w:rFonts w:hint="eastAsia" w:ascii="宋体" w:hAnsi="宋体" w:cs="宋体"/>
                <w:color w:val="000000"/>
                <w:kern w:val="0"/>
                <w:sz w:val="22"/>
              </w:rPr>
              <w:t>〕</w:t>
            </w:r>
            <w:r>
              <w:rPr>
                <w:rFonts w:ascii="宋体" w:hAnsi="宋体" w:cs="宋体"/>
                <w:color w:val="000000"/>
                <w:kern w:val="0"/>
                <w:sz w:val="22"/>
              </w:rPr>
              <w:t>136</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益阳市物价局关于同意继续执行城市管理道天然气维修服务收费标准的复函</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64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益阳市发展改革委关于印发《益阳市发改委行政执法依据目录》的通知</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益发改法规〔</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334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益阳市物价局关于安化县人民医院特殊病房床位价格问题的函</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益价函〔</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22</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益阳市物价局关于桃江县肿瘤医院特殊病房床位费价格的函</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益价函〔</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26</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益阳市物价局关于核定安化县第二人民医院特殊病房床位费价格的批复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90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10</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益阳市物价局关于核定沅江市人民医院特殊病房床位价格的批复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91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11</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益阳市物价局关于核定资阳高平迎风中学有关收费标准的批复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93</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284"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12</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益阳市物价局关于核定赫实验学校等两所民办学校有关收费标准的批复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94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13</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益阳市物价局关于核定益阳艺术实验学校有关收费标准的批复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95</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65"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14</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益阳市物价局关于资阳区妇幼保健院特殊病房床位价格的批复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105</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34"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15</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益阳市物价局关于调整桃江县非居民用气和车用天然气销售价格的批复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110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34"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16</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益阳市物价局关于调整南县非居民用气和车用天然气销售价格的批复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111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34"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17</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益阳市物价局关于调整市城区非居民用气和车用天然气销售价格的批复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114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34"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18</w:t>
            </w:r>
          </w:p>
        </w:tc>
        <w:tc>
          <w:tcPr>
            <w:tcW w:w="8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益阳市物价局关于调整沅江市非居民用气和车用天然气销售价格的批复</w:t>
            </w:r>
          </w:p>
        </w:tc>
        <w:tc>
          <w:tcPr>
            <w:tcW w:w="44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益价商〔</w:t>
            </w:r>
            <w:r>
              <w:rPr>
                <w:rFonts w:ascii="宋体" w:hAnsi="宋体" w:cs="宋体"/>
                <w:color w:val="000000"/>
                <w:kern w:val="0"/>
                <w:sz w:val="22"/>
              </w:rPr>
              <w:t>2014</w:t>
            </w:r>
            <w:r>
              <w:rPr>
                <w:rFonts w:hint="eastAsia" w:ascii="宋体" w:hAnsi="宋体" w:cs="宋体"/>
                <w:color w:val="000000"/>
                <w:kern w:val="0"/>
                <w:sz w:val="22"/>
              </w:rPr>
              <w:t>〕</w:t>
            </w:r>
            <w:r>
              <w:rPr>
                <w:rFonts w:ascii="宋体" w:hAnsi="宋体" w:cs="宋体"/>
                <w:color w:val="000000"/>
                <w:kern w:val="0"/>
                <w:sz w:val="22"/>
              </w:rPr>
              <w:t>119</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334" w:hRule="atLeast"/>
        </w:trPr>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19</w:t>
            </w:r>
          </w:p>
        </w:tc>
        <w:tc>
          <w:tcPr>
            <w:tcW w:w="8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益阳市发展改革委关于机动车检测服务收费有关问题的通知</w:t>
            </w:r>
          </w:p>
        </w:tc>
        <w:tc>
          <w:tcPr>
            <w:tcW w:w="44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益发改价服〔</w:t>
            </w:r>
            <w:r>
              <w:rPr>
                <w:rFonts w:ascii="宋体" w:hAnsi="宋体" w:cs="宋体"/>
                <w:color w:val="000000"/>
                <w:kern w:val="0"/>
                <w:sz w:val="22"/>
              </w:rPr>
              <w:t>2015</w:t>
            </w:r>
            <w:r>
              <w:rPr>
                <w:rFonts w:hint="eastAsia" w:ascii="宋体" w:hAnsi="宋体" w:cs="宋体"/>
                <w:color w:val="000000"/>
                <w:kern w:val="0"/>
                <w:sz w:val="22"/>
              </w:rPr>
              <w:t>〕</w:t>
            </w:r>
            <w:r>
              <w:rPr>
                <w:rFonts w:ascii="宋体" w:hAnsi="宋体" w:cs="宋体"/>
                <w:color w:val="000000"/>
                <w:kern w:val="0"/>
                <w:sz w:val="22"/>
              </w:rPr>
              <w:t>444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393" w:hRule="atLeast"/>
        </w:trPr>
        <w:tc>
          <w:tcPr>
            <w:tcW w:w="10436" w:type="dxa"/>
            <w:gridSpan w:val="4"/>
            <w:vAlign w:val="center"/>
          </w:tcPr>
          <w:p>
            <w:pPr>
              <w:widowControl/>
              <w:jc w:val="left"/>
              <w:textAlignment w:val="center"/>
              <w:rPr>
                <w:rFonts w:ascii="宋体" w:cs="宋体"/>
                <w:color w:val="000000"/>
                <w:kern w:val="0"/>
                <w:sz w:val="22"/>
              </w:rPr>
            </w:pPr>
          </w:p>
          <w:p>
            <w:pPr>
              <w:widowControl/>
              <w:jc w:val="left"/>
              <w:textAlignment w:val="center"/>
              <w:rPr>
                <w:rFonts w:ascii="宋体" w:cs="宋体"/>
                <w:color w:val="000000"/>
                <w:sz w:val="22"/>
              </w:rPr>
            </w:pPr>
            <w:r>
              <w:rPr>
                <w:rFonts w:hint="eastAsia" w:ascii="宋体" w:hAnsi="宋体" w:cs="宋体"/>
                <w:color w:val="000000"/>
                <w:kern w:val="0"/>
                <w:sz w:val="22"/>
              </w:rPr>
              <w:t>附件</w:t>
            </w:r>
            <w:r>
              <w:rPr>
                <w:rFonts w:ascii="宋体" w:hAnsi="宋体" w:cs="宋体"/>
                <w:color w:val="000000"/>
                <w:kern w:val="0"/>
                <w:sz w:val="22"/>
              </w:rPr>
              <w:t>2</w:t>
            </w:r>
            <w:r>
              <w:rPr>
                <w:rFonts w:hint="eastAsia" w:ascii="宋体" w:hAnsi="宋体" w:cs="宋体"/>
                <w:color w:val="000000"/>
                <w:kern w:val="0"/>
                <w:sz w:val="22"/>
              </w:rPr>
              <w:t>：</w:t>
            </w:r>
          </w:p>
        </w:tc>
        <w:tc>
          <w:tcPr>
            <w:tcW w:w="3450" w:type="dxa"/>
            <w:vAlign w:val="center"/>
          </w:tcPr>
          <w:p>
            <w:pPr>
              <w:rPr>
                <w:rFonts w:ascii="宋体" w:cs="宋体"/>
                <w:color w:val="000000"/>
                <w:sz w:val="22"/>
              </w:rPr>
            </w:pPr>
          </w:p>
        </w:tc>
      </w:tr>
      <w:tr>
        <w:tblPrEx>
          <w:tblLayout w:type="fixed"/>
          <w:tblCellMar>
            <w:top w:w="15" w:type="dxa"/>
            <w:left w:w="15" w:type="dxa"/>
            <w:bottom w:w="15" w:type="dxa"/>
            <w:right w:w="15" w:type="dxa"/>
          </w:tblCellMar>
        </w:tblPrEx>
        <w:trPr>
          <w:gridAfter w:val="1"/>
          <w:wAfter w:w="254" w:type="dxa"/>
          <w:trHeight w:val="608" w:hRule="atLeast"/>
        </w:trPr>
        <w:tc>
          <w:tcPr>
            <w:tcW w:w="13886" w:type="dxa"/>
            <w:gridSpan w:val="5"/>
            <w:vAlign w:val="center"/>
          </w:tcPr>
          <w:p>
            <w:pPr>
              <w:widowControl/>
              <w:spacing w:line="400" w:lineRule="exact"/>
              <w:jc w:val="center"/>
              <w:textAlignment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48"/>
                <w:szCs w:val="52"/>
              </w:rPr>
              <w:t>宣布失效的规范性文件</w:t>
            </w:r>
            <w:r>
              <w:rPr>
                <w:rFonts w:hint="eastAsia" w:ascii="方正小标宋简体" w:hAnsi="方正小标宋简体" w:eastAsia="方正小标宋简体" w:cs="方正小标宋简体"/>
                <w:color w:val="000000"/>
                <w:kern w:val="0"/>
                <w:sz w:val="52"/>
                <w:szCs w:val="52"/>
              </w:rPr>
              <w:t>目录</w:t>
            </w:r>
          </w:p>
        </w:tc>
      </w:tr>
      <w:tr>
        <w:tblPrEx>
          <w:tblLayout w:type="fixed"/>
          <w:tblCellMar>
            <w:top w:w="15" w:type="dxa"/>
            <w:left w:w="15" w:type="dxa"/>
            <w:bottom w:w="15" w:type="dxa"/>
            <w:right w:w="15" w:type="dxa"/>
          </w:tblCellMar>
        </w:tblPrEx>
        <w:trPr>
          <w:gridAfter w:val="1"/>
          <w:wAfter w:w="254" w:type="dxa"/>
          <w:trHeight w:val="341"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序号</w:t>
            </w:r>
          </w:p>
        </w:tc>
        <w:tc>
          <w:tcPr>
            <w:tcW w:w="936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文件标题</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益阳市物价局关于桃江县第七中与湖南长郡远程合作学校收费问题的批复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81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益阳市物价局关于“香樟花苑”小区经济适用住房价格的复函</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益价服函〔</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13</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益阳市物价局关于重新明确我市游览点门票价格管理权限的通知</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117</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益阳市物价局关于核定益阳南方文武实验学校收费项目和标准的批复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150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益阳市物价局关于核定卫生监督防疫培训收费标准的批复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154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益阳市物价局关于核定木材检尺服务收费标准批复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171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42"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益阳市物价局关于沅江出租汽车经营权招标底价的批复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178</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益阳市物价局关于调整北峰山森林公园门票价格的批复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182</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益阳市物价局关于核定益阳奥林匹克公园门票试行价格的批复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183</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32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10</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益阳市物价局关于核定山乡巨变第一村（周立波故居核心景区）门票试行价格的批复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184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11</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益阳市物价局关于调整梓山苑小区物业服务收费标准的批复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益价服字〔</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3</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12</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Style w:val="9"/>
                <w:rFonts w:hint="eastAsia"/>
              </w:rPr>
              <w:t>益阳市物价局关</w:t>
            </w:r>
            <w:r>
              <w:rPr>
                <w:rFonts w:hint="eastAsia" w:ascii="宋体" w:hAnsi="宋体" w:cs="宋体"/>
                <w:color w:val="0D0D0D"/>
                <w:kern w:val="0"/>
                <w:sz w:val="22"/>
              </w:rPr>
              <w:t>于记者</w:t>
            </w:r>
            <w:r>
              <w:rPr>
                <w:rStyle w:val="9"/>
                <w:rFonts w:hint="eastAsia"/>
              </w:rPr>
              <w:t>公寓住宅小区前期公共性物业服务收费标准的批复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5</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13</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益阳市物价局关于华天壹号住宅前期公共性物业服务收费标准的批复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益价服字〔</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14</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益阳市物价局关于春节期间出租车票价的批复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15</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益阳市物价局关于批复益阳市中油天然气有限公司城市管道天然气维修服务收费标准的通知</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16</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益阳市物价局关于益阳市楼市数码科技有限公司收取商品房销售网络信息服务费的批复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40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17</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益阳市物价局关于下达</w:t>
            </w:r>
            <w:r>
              <w:rPr>
                <w:rFonts w:ascii="宋体" w:hAnsi="宋体" w:cs="宋体"/>
                <w:color w:val="000000"/>
                <w:kern w:val="0"/>
                <w:sz w:val="22"/>
              </w:rPr>
              <w:t>2011</w:t>
            </w:r>
            <w:r>
              <w:rPr>
                <w:rFonts w:hint="eastAsia" w:ascii="宋体" w:hAnsi="宋体" w:cs="宋体"/>
                <w:color w:val="000000"/>
                <w:kern w:val="0"/>
                <w:sz w:val="22"/>
              </w:rPr>
              <w:t>春季中小学教材价格和教学辅助资料参考价格的通知</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11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18</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益阳市物价局关于有序供电期间收取煤电联运补偿费的复函</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益价价〔</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54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19</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益阳市物价局关于东方维也纳住宅小区前期公共性物业服务收费标准的批复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69</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16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20</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益阳市物价局关于鸿泰国际公寓前期公共性物业服务收费标准的批复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13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21</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益阳市物价局关于市中心医院重复提供住院病人每日费用明细清单收费的批复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益价价〔</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22</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益阳市物价局关于山水家园住宅小区前期公共性物业服务收费标准的批复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72</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23</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益阳市物价局关于滨江花园住宅小区前期公共性物业服务收费标准的批复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73</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24</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益阳市物价局关于湖南省邮政速递物流有限公司益阳市分公司代办服务收费的批复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25</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益阳市物价局关于益阳银御苑住宅小区前期公共性物业服务收费标准的批复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75</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31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26</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益阳市物价局关于赫山实验学校学生学费标准的批复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76</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3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27</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益阳市物价局关于核定诚信家园住宅小区前期公共性物业服务收费标准的批复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77</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3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28</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益阳市物价局关于规范中小学服务性收费和代收费管理有关问题的通知</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82</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0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29</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益阳市物价局关于资阳区高平、国基收费标准的批复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益价费字〔</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91</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11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30</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益阳市物价局关于重新核定泓泰国际公寓前期公共性物业服务收费标准的批复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4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31</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益阳市物价局关于香格里拉城市花园住宅小区前期公共性服务收费标准的批复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95</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5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32</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益阳市物价局关于益阳碧桂园住宅小区前期公共性物业服务收费标准的批复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96</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62"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33</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益阳市物价局关于新世纪广场商业写字楼前期公共性物业服务收费标准的批复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97</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28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34</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益阳市物价局关于下达</w:t>
            </w:r>
            <w:r>
              <w:rPr>
                <w:rFonts w:ascii="宋体" w:hAnsi="宋体" w:cs="宋体"/>
                <w:color w:val="000000"/>
                <w:kern w:val="0"/>
                <w:sz w:val="22"/>
              </w:rPr>
              <w:t>2011</w:t>
            </w:r>
            <w:r>
              <w:rPr>
                <w:rFonts w:hint="eastAsia" w:ascii="宋体" w:hAnsi="宋体" w:cs="宋体"/>
                <w:color w:val="000000"/>
                <w:kern w:val="0"/>
                <w:sz w:val="22"/>
              </w:rPr>
              <w:t>年秋季中小学教材价格和教学辅助资源参考价格的通知</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98</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35</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益阳市物价局关于桃江实验中学</w:t>
            </w:r>
            <w:r>
              <w:rPr>
                <w:rFonts w:ascii="宋体" w:hAnsi="宋体" w:cs="宋体"/>
                <w:color w:val="000000"/>
                <w:kern w:val="0"/>
                <w:sz w:val="22"/>
              </w:rPr>
              <w:t>2011</w:t>
            </w:r>
            <w:r>
              <w:rPr>
                <w:rFonts w:hint="eastAsia" w:ascii="宋体" w:hAnsi="宋体" w:cs="宋体"/>
                <w:color w:val="000000"/>
                <w:kern w:val="0"/>
                <w:sz w:val="22"/>
              </w:rPr>
              <w:t>年秋季收费标准的批复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99</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gridAfter w:val="1"/>
          <w:wAfter w:w="254" w:type="dxa"/>
          <w:trHeight w:val="46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36</w:t>
            </w:r>
          </w:p>
        </w:tc>
        <w:tc>
          <w:tcPr>
            <w:tcW w:w="9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益阳市物价局关于学府花园住宅小区前期公共性物业服务收费标准的批复</w:t>
            </w: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100</w:t>
            </w:r>
            <w:r>
              <w:rPr>
                <w:rFonts w:hint="eastAsia" w:ascii="宋体" w:hAnsi="宋体" w:cs="宋体"/>
                <w:color w:val="000000"/>
                <w:kern w:val="0"/>
                <w:sz w:val="22"/>
              </w:rPr>
              <w:t>号</w:t>
            </w:r>
          </w:p>
        </w:tc>
      </w:tr>
    </w:tbl>
    <w:p>
      <w:pPr>
        <w:spacing w:line="560" w:lineRule="exact"/>
        <w:rPr>
          <w:rFonts w:ascii="仿宋" w:hAnsi="仿宋" w:eastAsia="仿宋"/>
          <w:sz w:val="28"/>
          <w:szCs w:val="28"/>
        </w:rPr>
      </w:pPr>
    </w:p>
    <w:tbl>
      <w:tblPr>
        <w:tblStyle w:val="6"/>
        <w:tblW w:w="14100" w:type="dxa"/>
        <w:tblInd w:w="0" w:type="dxa"/>
        <w:tblLayout w:type="fixed"/>
        <w:tblCellMar>
          <w:top w:w="15" w:type="dxa"/>
          <w:left w:w="15" w:type="dxa"/>
          <w:bottom w:w="15" w:type="dxa"/>
          <w:right w:w="15" w:type="dxa"/>
        </w:tblCellMar>
      </w:tblPr>
      <w:tblGrid>
        <w:gridCol w:w="675"/>
        <w:gridCol w:w="5865"/>
        <w:gridCol w:w="7560"/>
      </w:tblGrid>
      <w:tr>
        <w:tblPrEx>
          <w:tblLayout w:type="fixed"/>
          <w:tblCellMar>
            <w:top w:w="15" w:type="dxa"/>
            <w:left w:w="15" w:type="dxa"/>
            <w:bottom w:w="15" w:type="dxa"/>
            <w:right w:w="15" w:type="dxa"/>
          </w:tblCellMar>
        </w:tblPrEx>
        <w:trPr>
          <w:trHeight w:val="420" w:hRule="atLeast"/>
        </w:trPr>
        <w:tc>
          <w:tcPr>
            <w:tcW w:w="675" w:type="dxa"/>
            <w:vAlign w:val="center"/>
          </w:tcPr>
          <w:p>
            <w:pPr>
              <w:widowControl/>
              <w:jc w:val="left"/>
              <w:textAlignment w:val="center"/>
              <w:rPr>
                <w:rFonts w:ascii="宋体" w:cs="宋体"/>
                <w:color w:val="000000"/>
                <w:sz w:val="22"/>
              </w:rPr>
            </w:pPr>
            <w:r>
              <w:rPr>
                <w:rFonts w:hint="eastAsia" w:ascii="宋体" w:hAnsi="宋体" w:cs="宋体"/>
                <w:color w:val="000000"/>
                <w:kern w:val="0"/>
                <w:sz w:val="22"/>
              </w:rPr>
              <w:t>附件</w:t>
            </w:r>
            <w:r>
              <w:rPr>
                <w:rFonts w:ascii="宋体" w:hAnsi="宋体" w:cs="宋体"/>
                <w:color w:val="000000"/>
                <w:kern w:val="0"/>
                <w:sz w:val="22"/>
              </w:rPr>
              <w:t>3</w:t>
            </w:r>
            <w:r>
              <w:rPr>
                <w:rFonts w:hint="eastAsia" w:ascii="宋体" w:hAnsi="宋体" w:cs="宋体"/>
                <w:color w:val="000000"/>
                <w:kern w:val="0"/>
                <w:sz w:val="22"/>
              </w:rPr>
              <w:t>：</w:t>
            </w:r>
          </w:p>
        </w:tc>
        <w:tc>
          <w:tcPr>
            <w:tcW w:w="5865" w:type="dxa"/>
            <w:vAlign w:val="center"/>
          </w:tcPr>
          <w:p>
            <w:pPr>
              <w:rPr>
                <w:rFonts w:ascii="宋体" w:cs="宋体"/>
                <w:color w:val="000000"/>
                <w:sz w:val="22"/>
              </w:rPr>
            </w:pPr>
          </w:p>
        </w:tc>
        <w:tc>
          <w:tcPr>
            <w:tcW w:w="7560" w:type="dxa"/>
            <w:vAlign w:val="center"/>
          </w:tcPr>
          <w:p>
            <w:pPr>
              <w:rPr>
                <w:rFonts w:ascii="宋体" w:cs="宋体"/>
                <w:color w:val="000000"/>
                <w:sz w:val="22"/>
              </w:rPr>
            </w:pPr>
          </w:p>
        </w:tc>
      </w:tr>
      <w:tr>
        <w:tblPrEx>
          <w:tblLayout w:type="fixed"/>
          <w:tblCellMar>
            <w:top w:w="15" w:type="dxa"/>
            <w:left w:w="15" w:type="dxa"/>
            <w:bottom w:w="15" w:type="dxa"/>
            <w:right w:w="15" w:type="dxa"/>
          </w:tblCellMar>
        </w:tblPrEx>
        <w:trPr>
          <w:trHeight w:val="675" w:hRule="atLeast"/>
        </w:trPr>
        <w:tc>
          <w:tcPr>
            <w:tcW w:w="14100" w:type="dxa"/>
            <w:gridSpan w:val="3"/>
            <w:vAlign w:val="center"/>
          </w:tcPr>
          <w:p>
            <w:pPr>
              <w:widowControl/>
              <w:jc w:val="center"/>
              <w:textAlignment w:val="center"/>
              <w:rPr>
                <w:rFonts w:ascii="方正小标宋简体" w:hAnsi="方正小标宋简体" w:eastAsia="方正小标宋简体" w:cs="方正小标宋简体"/>
                <w:color w:val="000000"/>
                <w:sz w:val="48"/>
                <w:szCs w:val="48"/>
              </w:rPr>
            </w:pPr>
            <w:r>
              <w:rPr>
                <w:rStyle w:val="10"/>
                <w:rFonts w:hint="eastAsia"/>
              </w:rPr>
              <w:t>确认继续有效的规范性文件目录</w:t>
            </w:r>
          </w:p>
        </w:tc>
      </w:tr>
      <w:tr>
        <w:tblPrEx>
          <w:tblLayout w:type="fixed"/>
          <w:tblCellMar>
            <w:top w:w="15" w:type="dxa"/>
            <w:left w:w="15" w:type="dxa"/>
            <w:bottom w:w="15" w:type="dxa"/>
            <w:right w:w="15"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序号</w:t>
            </w:r>
          </w:p>
        </w:tc>
        <w:tc>
          <w:tcPr>
            <w:tcW w:w="5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文件标题</w:t>
            </w:r>
          </w:p>
        </w:tc>
        <w:tc>
          <w:tcPr>
            <w:tcW w:w="7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FF0000"/>
                <w:sz w:val="24"/>
                <w:szCs w:val="24"/>
              </w:rPr>
            </w:pPr>
            <w:r>
              <w:rPr>
                <w:rFonts w:hint="eastAsia" w:ascii="宋体" w:hAnsi="宋体" w:cs="宋体"/>
                <w:b/>
                <w:color w:val="0C0C0C" w:themeColor="text1" w:themeTint="F2"/>
                <w:kern w:val="0"/>
                <w:sz w:val="24"/>
                <w:szCs w:val="24"/>
              </w:rPr>
              <w:t>文号</w:t>
            </w: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58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关于核定千山红镇种福自来水厂供水价格的批复</w:t>
            </w:r>
          </w:p>
        </w:tc>
        <w:tc>
          <w:tcPr>
            <w:tcW w:w="7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益发改价服〔</w:t>
            </w:r>
            <w:r>
              <w:rPr>
                <w:rFonts w:ascii="宋体" w:hAnsi="宋体" w:cs="宋体"/>
                <w:color w:val="000000"/>
                <w:kern w:val="0"/>
                <w:sz w:val="22"/>
              </w:rPr>
              <w:t>2017</w:t>
            </w:r>
            <w:r>
              <w:rPr>
                <w:rFonts w:hint="eastAsia" w:ascii="宋体" w:hAnsi="宋体" w:cs="宋体"/>
                <w:color w:val="000000"/>
                <w:kern w:val="0"/>
                <w:sz w:val="22"/>
              </w:rPr>
              <w:t>〕</w:t>
            </w:r>
            <w:r>
              <w:rPr>
                <w:rFonts w:ascii="宋体" w:hAnsi="宋体" w:cs="宋体"/>
                <w:color w:val="000000"/>
                <w:kern w:val="0"/>
                <w:sz w:val="22"/>
              </w:rPr>
              <w:t>73</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58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关于调整我市机动车安全技术检验服务收费标准的通知</w:t>
            </w:r>
          </w:p>
        </w:tc>
        <w:tc>
          <w:tcPr>
            <w:tcW w:w="7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益发改价服〔</w:t>
            </w:r>
            <w:r>
              <w:rPr>
                <w:rFonts w:ascii="宋体" w:hAnsi="宋体" w:cs="宋体"/>
                <w:color w:val="000000"/>
                <w:kern w:val="0"/>
                <w:sz w:val="22"/>
              </w:rPr>
              <w:t>2017</w:t>
            </w:r>
            <w:r>
              <w:rPr>
                <w:rFonts w:hint="eastAsia" w:ascii="宋体" w:hAnsi="宋体" w:cs="宋体"/>
                <w:color w:val="000000"/>
                <w:kern w:val="0"/>
                <w:sz w:val="22"/>
              </w:rPr>
              <w:t>〕</w:t>
            </w:r>
            <w:r>
              <w:rPr>
                <w:rFonts w:ascii="宋体" w:hAnsi="宋体" w:cs="宋体"/>
                <w:color w:val="000000"/>
                <w:kern w:val="0"/>
                <w:sz w:val="22"/>
              </w:rPr>
              <w:t>100</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58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关于政府购买服务实施成本监审的通知</w:t>
            </w:r>
          </w:p>
        </w:tc>
        <w:tc>
          <w:tcPr>
            <w:tcW w:w="7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益发改成调〔</w:t>
            </w:r>
            <w:r>
              <w:rPr>
                <w:rFonts w:ascii="宋体" w:hAnsi="宋体" w:cs="宋体"/>
                <w:color w:val="000000"/>
                <w:kern w:val="0"/>
                <w:sz w:val="22"/>
              </w:rPr>
              <w:t>2017</w:t>
            </w:r>
            <w:r>
              <w:rPr>
                <w:rFonts w:hint="eastAsia" w:ascii="宋体" w:hAnsi="宋体" w:cs="宋体"/>
                <w:color w:val="000000"/>
                <w:kern w:val="0"/>
                <w:sz w:val="22"/>
              </w:rPr>
              <w:t>〕</w:t>
            </w:r>
            <w:r>
              <w:rPr>
                <w:rFonts w:ascii="宋体" w:hAnsi="宋体" w:cs="宋体"/>
                <w:color w:val="000000"/>
                <w:kern w:val="0"/>
                <w:sz w:val="22"/>
              </w:rPr>
              <w:t>178</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58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关于核定我市机动车排气污染物检测服务收费标准的通知</w:t>
            </w:r>
          </w:p>
        </w:tc>
        <w:tc>
          <w:tcPr>
            <w:tcW w:w="7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益发改价服〔</w:t>
            </w:r>
            <w:r>
              <w:rPr>
                <w:rFonts w:ascii="宋体" w:hAnsi="宋体" w:cs="宋体"/>
                <w:color w:val="000000"/>
                <w:kern w:val="0"/>
                <w:sz w:val="22"/>
              </w:rPr>
              <w:t>2017</w:t>
            </w:r>
            <w:r>
              <w:rPr>
                <w:rFonts w:hint="eastAsia" w:ascii="宋体" w:hAnsi="宋体" w:cs="宋体"/>
                <w:color w:val="000000"/>
                <w:kern w:val="0"/>
                <w:sz w:val="22"/>
              </w:rPr>
              <w:t>〕</w:t>
            </w:r>
            <w:r>
              <w:rPr>
                <w:rFonts w:ascii="宋体" w:hAnsi="宋体" w:cs="宋体"/>
                <w:color w:val="000000"/>
                <w:kern w:val="0"/>
                <w:sz w:val="22"/>
              </w:rPr>
              <w:t>189</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r>
      <w:tr>
        <w:tblPrEx>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cs="宋体"/>
                <w:color w:val="000000"/>
                <w:sz w:val="22"/>
              </w:rPr>
            </w:pPr>
          </w:p>
        </w:tc>
        <w:tc>
          <w:tcPr>
            <w:tcW w:w="5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s="宋体"/>
                <w:color w:val="000000"/>
                <w:sz w:val="22"/>
              </w:rPr>
            </w:pPr>
          </w:p>
        </w:tc>
      </w:tr>
    </w:tbl>
    <w:p>
      <w:pPr>
        <w:spacing w:line="560" w:lineRule="exact"/>
        <w:rPr>
          <w:rFonts w:ascii="仿宋" w:hAnsi="仿宋" w:eastAsia="仿宋"/>
          <w:sz w:val="28"/>
          <w:szCs w:val="28"/>
        </w:rPr>
      </w:pPr>
    </w:p>
    <w:tbl>
      <w:tblPr>
        <w:tblStyle w:val="6"/>
        <w:tblW w:w="14055" w:type="dxa"/>
        <w:tblInd w:w="0" w:type="dxa"/>
        <w:tblLayout w:type="fixed"/>
        <w:tblCellMar>
          <w:top w:w="15" w:type="dxa"/>
          <w:left w:w="15" w:type="dxa"/>
          <w:bottom w:w="15" w:type="dxa"/>
          <w:right w:w="15" w:type="dxa"/>
        </w:tblCellMar>
      </w:tblPr>
      <w:tblGrid>
        <w:gridCol w:w="816"/>
        <w:gridCol w:w="8539"/>
        <w:gridCol w:w="740"/>
        <w:gridCol w:w="3960"/>
      </w:tblGrid>
      <w:tr>
        <w:tblPrEx>
          <w:tblLayout w:type="fixed"/>
          <w:tblCellMar>
            <w:top w:w="15" w:type="dxa"/>
            <w:left w:w="15" w:type="dxa"/>
            <w:bottom w:w="15" w:type="dxa"/>
            <w:right w:w="15" w:type="dxa"/>
          </w:tblCellMar>
        </w:tblPrEx>
        <w:trPr>
          <w:trHeight w:val="471" w:hRule="atLeast"/>
        </w:trPr>
        <w:tc>
          <w:tcPr>
            <w:tcW w:w="816" w:type="dxa"/>
            <w:vAlign w:val="center"/>
          </w:tcPr>
          <w:p>
            <w:pPr>
              <w:widowControl/>
              <w:jc w:val="left"/>
              <w:textAlignment w:val="center"/>
              <w:rPr>
                <w:rFonts w:ascii="宋体" w:cs="宋体"/>
                <w:color w:val="000000"/>
                <w:sz w:val="22"/>
              </w:rPr>
            </w:pPr>
            <w:r>
              <w:rPr>
                <w:rFonts w:hint="eastAsia" w:ascii="宋体" w:hAnsi="宋体" w:cs="宋体"/>
                <w:color w:val="000000"/>
                <w:kern w:val="0"/>
                <w:sz w:val="22"/>
              </w:rPr>
              <w:t>附件</w:t>
            </w:r>
            <w:r>
              <w:rPr>
                <w:rFonts w:ascii="宋体" w:hAnsi="宋体" w:cs="宋体"/>
                <w:color w:val="000000"/>
                <w:kern w:val="0"/>
                <w:sz w:val="22"/>
              </w:rPr>
              <w:t>4</w:t>
            </w:r>
            <w:r>
              <w:rPr>
                <w:rFonts w:hint="eastAsia" w:ascii="宋体" w:hAnsi="宋体" w:cs="宋体"/>
                <w:color w:val="000000"/>
                <w:kern w:val="0"/>
                <w:sz w:val="22"/>
              </w:rPr>
              <w:t>：</w:t>
            </w:r>
          </w:p>
        </w:tc>
        <w:tc>
          <w:tcPr>
            <w:tcW w:w="8539" w:type="dxa"/>
            <w:vAlign w:val="center"/>
          </w:tcPr>
          <w:p>
            <w:pPr>
              <w:rPr>
                <w:rFonts w:ascii="宋体" w:cs="宋体"/>
                <w:color w:val="000000"/>
                <w:sz w:val="22"/>
              </w:rPr>
            </w:pPr>
          </w:p>
        </w:tc>
        <w:tc>
          <w:tcPr>
            <w:tcW w:w="4700" w:type="dxa"/>
            <w:gridSpan w:val="2"/>
            <w:vAlign w:val="center"/>
          </w:tcPr>
          <w:p>
            <w:pPr>
              <w:rPr>
                <w:rFonts w:ascii="宋体" w:cs="宋体"/>
                <w:color w:val="000000"/>
                <w:sz w:val="22"/>
              </w:rPr>
            </w:pPr>
          </w:p>
        </w:tc>
      </w:tr>
      <w:tr>
        <w:tblPrEx>
          <w:tblLayout w:type="fixed"/>
          <w:tblCellMar>
            <w:top w:w="15" w:type="dxa"/>
            <w:left w:w="15" w:type="dxa"/>
            <w:bottom w:w="15" w:type="dxa"/>
            <w:right w:w="15" w:type="dxa"/>
          </w:tblCellMar>
        </w:tblPrEx>
        <w:trPr>
          <w:trHeight w:val="741" w:hRule="atLeast"/>
        </w:trPr>
        <w:tc>
          <w:tcPr>
            <w:tcW w:w="14055" w:type="dxa"/>
            <w:gridSpan w:val="4"/>
            <w:vAlign w:val="center"/>
          </w:tcPr>
          <w:p>
            <w:pPr>
              <w:widowControl/>
              <w:jc w:val="center"/>
              <w:textAlignment w:val="center"/>
              <w:rPr>
                <w:rFonts w:ascii="方正小标宋简体" w:hAnsi="方正小标宋简体" w:eastAsia="方正小标宋简体" w:cs="方正小标宋简体"/>
                <w:color w:val="000000"/>
                <w:sz w:val="48"/>
                <w:szCs w:val="48"/>
              </w:rPr>
            </w:pPr>
            <w:r>
              <w:rPr>
                <w:rStyle w:val="11"/>
                <w:rFonts w:hint="eastAsia"/>
              </w:rPr>
              <w:t>重新公布的规范性</w:t>
            </w:r>
            <w:r>
              <w:rPr>
                <w:rFonts w:hint="eastAsia" w:ascii="方正小标宋简体" w:hAnsi="方正小标宋简体" w:eastAsia="方正小标宋简体" w:cs="方正小标宋简体"/>
                <w:color w:val="0C0C0C" w:themeColor="text1" w:themeTint="F2"/>
                <w:kern w:val="0"/>
                <w:sz w:val="48"/>
                <w:szCs w:val="48"/>
              </w:rPr>
              <w:t>文件</w:t>
            </w:r>
            <w:r>
              <w:rPr>
                <w:rStyle w:val="11"/>
                <w:rFonts w:hint="eastAsia"/>
                <w:color w:val="0C0C0C" w:themeColor="text1" w:themeTint="F2"/>
              </w:rPr>
              <w:t>目</w:t>
            </w:r>
            <w:r>
              <w:rPr>
                <w:rStyle w:val="11"/>
                <w:rFonts w:hint="eastAsia"/>
              </w:rPr>
              <w:t>录</w:t>
            </w:r>
          </w:p>
        </w:tc>
      </w:tr>
      <w:tr>
        <w:tblPrEx>
          <w:tblLayout w:type="fixed"/>
          <w:tblCellMar>
            <w:top w:w="15" w:type="dxa"/>
            <w:left w:w="15" w:type="dxa"/>
            <w:bottom w:w="15" w:type="dxa"/>
            <w:right w:w="15" w:type="dxa"/>
          </w:tblCellMar>
        </w:tblPrEx>
        <w:trPr>
          <w:trHeight w:val="674"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序号</w:t>
            </w:r>
          </w:p>
        </w:tc>
        <w:tc>
          <w:tcPr>
            <w:tcW w:w="9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文件标题</w:t>
            </w:r>
          </w:p>
        </w:tc>
        <w:tc>
          <w:tcPr>
            <w:tcW w:w="3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文号</w:t>
            </w:r>
          </w:p>
        </w:tc>
      </w:tr>
      <w:tr>
        <w:tblPrEx>
          <w:tblLayout w:type="fixed"/>
          <w:tblCellMar>
            <w:top w:w="15" w:type="dxa"/>
            <w:left w:w="15" w:type="dxa"/>
            <w:bottom w:w="15" w:type="dxa"/>
            <w:right w:w="15" w:type="dxa"/>
          </w:tblCellMar>
        </w:tblPrEx>
        <w:trPr>
          <w:trHeight w:val="6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9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益阳市发改委关于公布规范性文件清理结果的公告</w:t>
            </w:r>
          </w:p>
        </w:tc>
        <w:tc>
          <w:tcPr>
            <w:tcW w:w="3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益发改法规〔</w:t>
            </w:r>
            <w:r>
              <w:rPr>
                <w:rFonts w:ascii="宋体" w:hAnsi="宋体" w:cs="宋体"/>
                <w:color w:val="000000"/>
                <w:kern w:val="0"/>
                <w:sz w:val="22"/>
              </w:rPr>
              <w:t>2008</w:t>
            </w:r>
            <w:r>
              <w:rPr>
                <w:rFonts w:hint="eastAsia" w:ascii="宋体" w:hAnsi="宋体" w:cs="宋体"/>
                <w:color w:val="000000"/>
                <w:kern w:val="0"/>
                <w:sz w:val="22"/>
              </w:rPr>
              <w:t>〕</w:t>
            </w:r>
            <w:r>
              <w:rPr>
                <w:rFonts w:ascii="宋体" w:hAnsi="宋体" w:cs="宋体"/>
                <w:color w:val="000000"/>
                <w:kern w:val="0"/>
                <w:sz w:val="22"/>
              </w:rPr>
              <w:t>414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6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2</w:t>
            </w:r>
          </w:p>
        </w:tc>
        <w:tc>
          <w:tcPr>
            <w:tcW w:w="92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关于规范部分殡葬服务价格有关问题的紧急通知</w:t>
            </w:r>
          </w:p>
        </w:tc>
        <w:tc>
          <w:tcPr>
            <w:tcW w:w="39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益价费〔</w:t>
            </w:r>
            <w:r>
              <w:rPr>
                <w:rFonts w:ascii="宋体" w:hAnsi="宋体" w:cs="宋体"/>
                <w:color w:val="000000"/>
                <w:kern w:val="0"/>
                <w:sz w:val="22"/>
              </w:rPr>
              <w:t>2011</w:t>
            </w:r>
            <w:r>
              <w:rPr>
                <w:rFonts w:hint="eastAsia" w:ascii="宋体" w:hAnsi="宋体" w:cs="宋体"/>
                <w:color w:val="000000"/>
                <w:kern w:val="0"/>
                <w:sz w:val="22"/>
              </w:rPr>
              <w:t>〕</w:t>
            </w:r>
            <w:r>
              <w:rPr>
                <w:rFonts w:ascii="宋体" w:hAnsi="宋体" w:cs="宋体"/>
                <w:color w:val="000000"/>
                <w:kern w:val="0"/>
                <w:sz w:val="22"/>
              </w:rPr>
              <w:t>58</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741"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92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益阳市物价局关于重新公布益阳市中心城区物业服务收费指导价格及收费服务等级标准的通知</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rPr>
            </w:pPr>
            <w:r>
              <w:rPr>
                <w:rFonts w:hint="eastAsia" w:ascii="宋体" w:hAnsi="宋体" w:cs="宋体"/>
                <w:color w:val="000000"/>
                <w:kern w:val="0"/>
                <w:sz w:val="22"/>
              </w:rPr>
              <w:t>益价服〔</w:t>
            </w:r>
            <w:r>
              <w:rPr>
                <w:rFonts w:ascii="宋体" w:hAnsi="宋体" w:cs="宋体"/>
                <w:color w:val="000000"/>
                <w:kern w:val="0"/>
                <w:sz w:val="22"/>
              </w:rPr>
              <w:t>2012</w:t>
            </w:r>
            <w:r>
              <w:rPr>
                <w:rFonts w:hint="eastAsia" w:ascii="宋体" w:hAnsi="宋体" w:cs="宋体"/>
                <w:color w:val="000000"/>
                <w:kern w:val="0"/>
                <w:sz w:val="22"/>
              </w:rPr>
              <w:t>〕</w:t>
            </w:r>
            <w:r>
              <w:rPr>
                <w:rFonts w:ascii="宋体" w:hAnsi="宋体" w:cs="宋体"/>
                <w:color w:val="000000"/>
                <w:kern w:val="0"/>
                <w:sz w:val="22"/>
              </w:rPr>
              <w:t>124</w:t>
            </w:r>
            <w:r>
              <w:rPr>
                <w:rFonts w:hint="eastAsia" w:ascii="宋体" w:hAnsi="宋体" w:cs="宋体"/>
                <w:color w:val="000000"/>
                <w:kern w:val="0"/>
                <w:sz w:val="22"/>
              </w:rPr>
              <w:t>号</w:t>
            </w:r>
          </w:p>
        </w:tc>
      </w:tr>
      <w:tr>
        <w:tblPrEx>
          <w:tblLayout w:type="fixed"/>
          <w:tblCellMar>
            <w:top w:w="15" w:type="dxa"/>
            <w:left w:w="15" w:type="dxa"/>
            <w:bottom w:w="15" w:type="dxa"/>
            <w:right w:w="15" w:type="dxa"/>
          </w:tblCellMar>
        </w:tblPrEx>
        <w:trPr>
          <w:trHeight w:val="6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22"/>
              </w:rPr>
            </w:pPr>
          </w:p>
        </w:tc>
        <w:tc>
          <w:tcPr>
            <w:tcW w:w="927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rPr>
            </w:pPr>
          </w:p>
        </w:tc>
      </w:tr>
    </w:tbl>
    <w:p>
      <w:pPr>
        <w:spacing w:line="560" w:lineRule="exact"/>
        <w:rPr>
          <w:rFonts w:ascii="仿宋" w:hAnsi="仿宋" w:eastAsia="仿宋"/>
          <w:sz w:val="28"/>
          <w:szCs w:val="28"/>
        </w:rPr>
      </w:pPr>
    </w:p>
    <w:p>
      <w:pPr>
        <w:spacing w:line="560" w:lineRule="exact"/>
        <w:rPr>
          <w:rFonts w:ascii="仿宋" w:hAnsi="仿宋" w:eastAsia="仿宋"/>
          <w:sz w:val="28"/>
          <w:szCs w:val="28"/>
        </w:rPr>
      </w:pPr>
    </w:p>
    <w:sectPr>
      <w:pgSz w:w="16838" w:h="11906" w:orient="landscape"/>
      <w:pgMar w:top="1474" w:right="1587" w:bottom="1247" w:left="1361"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1742"/>
    <w:multiLevelType w:val="singleLevel"/>
    <w:tmpl w:val="15061742"/>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cumentProtection w:enforcement="0"/>
  <w:defaultTabStop w:val="420"/>
  <w:drawingGridVerticalSpacing w:val="158"/>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1C4"/>
    <w:rsid w:val="0031280B"/>
    <w:rsid w:val="003707D3"/>
    <w:rsid w:val="00502895"/>
    <w:rsid w:val="006D0347"/>
    <w:rsid w:val="00937770"/>
    <w:rsid w:val="00A648DA"/>
    <w:rsid w:val="00C057D6"/>
    <w:rsid w:val="00C301C4"/>
    <w:rsid w:val="00E84F8E"/>
    <w:rsid w:val="03BD51F9"/>
    <w:rsid w:val="042A0F3C"/>
    <w:rsid w:val="056C4208"/>
    <w:rsid w:val="05AE1540"/>
    <w:rsid w:val="070B6FF0"/>
    <w:rsid w:val="10D47543"/>
    <w:rsid w:val="125A48E6"/>
    <w:rsid w:val="17202A51"/>
    <w:rsid w:val="182D2521"/>
    <w:rsid w:val="187418D8"/>
    <w:rsid w:val="188B41C2"/>
    <w:rsid w:val="18AC1188"/>
    <w:rsid w:val="1B6C498A"/>
    <w:rsid w:val="20956A13"/>
    <w:rsid w:val="20D22786"/>
    <w:rsid w:val="21721A74"/>
    <w:rsid w:val="248056EB"/>
    <w:rsid w:val="267B06AB"/>
    <w:rsid w:val="29A87635"/>
    <w:rsid w:val="29B235A5"/>
    <w:rsid w:val="2A3078A3"/>
    <w:rsid w:val="2C9567A4"/>
    <w:rsid w:val="2EF515D8"/>
    <w:rsid w:val="33D24C23"/>
    <w:rsid w:val="35AB4389"/>
    <w:rsid w:val="38AE11D6"/>
    <w:rsid w:val="3985578B"/>
    <w:rsid w:val="3B2A45D1"/>
    <w:rsid w:val="3FD26910"/>
    <w:rsid w:val="421164C3"/>
    <w:rsid w:val="43A07417"/>
    <w:rsid w:val="44321D05"/>
    <w:rsid w:val="45CC66F0"/>
    <w:rsid w:val="4A0B2F22"/>
    <w:rsid w:val="4F945CFA"/>
    <w:rsid w:val="4FFB2471"/>
    <w:rsid w:val="5588671A"/>
    <w:rsid w:val="59F53EF5"/>
    <w:rsid w:val="5EFB1091"/>
    <w:rsid w:val="5FFE02C5"/>
    <w:rsid w:val="60611D4E"/>
    <w:rsid w:val="6354659E"/>
    <w:rsid w:val="63CC5AC1"/>
    <w:rsid w:val="645A04CA"/>
    <w:rsid w:val="698E2D8C"/>
    <w:rsid w:val="6CB15E09"/>
    <w:rsid w:val="702E2BCB"/>
    <w:rsid w:val="75FA3C7F"/>
    <w:rsid w:val="79323ADA"/>
    <w:rsid w:val="79956602"/>
    <w:rsid w:val="7E9B34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nt31"/>
    <w:basedOn w:val="4"/>
    <w:qFormat/>
    <w:uiPriority w:val="99"/>
    <w:rPr>
      <w:rFonts w:ascii="方正小标宋简体" w:hAnsi="方正小标宋简体" w:eastAsia="方正小标宋简体" w:cs="方正小标宋简体"/>
      <w:color w:val="000000"/>
      <w:sz w:val="52"/>
      <w:szCs w:val="52"/>
      <w:u w:val="none"/>
    </w:rPr>
  </w:style>
  <w:style w:type="character" w:customStyle="1" w:styleId="8">
    <w:name w:val="font01"/>
    <w:basedOn w:val="4"/>
    <w:uiPriority w:val="99"/>
    <w:rPr>
      <w:rFonts w:ascii="方正小标宋简体" w:hAnsi="方正小标宋简体" w:eastAsia="方正小标宋简体" w:cs="方正小标宋简体"/>
      <w:color w:val="FF0000"/>
      <w:sz w:val="52"/>
      <w:szCs w:val="52"/>
      <w:u w:val="none"/>
    </w:rPr>
  </w:style>
  <w:style w:type="character" w:customStyle="1" w:styleId="9">
    <w:name w:val="font11"/>
    <w:basedOn w:val="4"/>
    <w:qFormat/>
    <w:uiPriority w:val="99"/>
    <w:rPr>
      <w:rFonts w:ascii="宋体" w:hAnsi="宋体" w:eastAsia="宋体" w:cs="宋体"/>
      <w:color w:val="000000"/>
      <w:sz w:val="22"/>
      <w:szCs w:val="22"/>
      <w:u w:val="none"/>
    </w:rPr>
  </w:style>
  <w:style w:type="character" w:customStyle="1" w:styleId="10">
    <w:name w:val="font61"/>
    <w:basedOn w:val="4"/>
    <w:uiPriority w:val="99"/>
    <w:rPr>
      <w:rFonts w:ascii="方正小标宋简体" w:hAnsi="方正小标宋简体" w:eastAsia="方正小标宋简体" w:cs="方正小标宋简体"/>
      <w:color w:val="000000"/>
      <w:sz w:val="48"/>
      <w:szCs w:val="48"/>
      <w:u w:val="none"/>
    </w:rPr>
  </w:style>
  <w:style w:type="character" w:customStyle="1" w:styleId="11">
    <w:name w:val="font41"/>
    <w:basedOn w:val="4"/>
    <w:uiPriority w:val="99"/>
    <w:rPr>
      <w:rFonts w:ascii="方正小标宋简体" w:hAnsi="方正小标宋简体" w:eastAsia="方正小标宋简体" w:cs="方正小标宋简体"/>
      <w:color w:val="000000"/>
      <w:sz w:val="48"/>
      <w:szCs w:val="48"/>
      <w:u w:val="none"/>
    </w:rPr>
  </w:style>
  <w:style w:type="character" w:customStyle="1" w:styleId="12">
    <w:name w:val="Header Char"/>
    <w:basedOn w:val="4"/>
    <w:link w:val="3"/>
    <w:semiHidden/>
    <w:qFormat/>
    <w:uiPriority w:val="99"/>
    <w:rPr>
      <w:rFonts w:ascii="Calibri" w:hAnsi="Calibri"/>
      <w:sz w:val="18"/>
      <w:szCs w:val="18"/>
    </w:rPr>
  </w:style>
  <w:style w:type="character" w:customStyle="1" w:styleId="13">
    <w:name w:val="Footer Char"/>
    <w:basedOn w:val="4"/>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571</Words>
  <Characters>3258</Characters>
  <Lines>0</Lines>
  <Paragraphs>0</Paragraphs>
  <TotalTime>20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2018-06-15T02:04:00Z</dcterms:created>
  <dc:creator>fdf</dc:creator>
  <cp:lastModifiedBy>fdf</cp:lastModifiedBy>
  <cp:lastPrinted>2018-09-19T03:19:00Z</cp:lastPrinted>
  <dcterms:modified xsi:type="dcterms:W3CDTF">2018-11-02T01:48:41Z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